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4459" w:rsidRPr="0073156E" w:rsidRDefault="00654459" w:rsidP="00654459">
      <w:pPr>
        <w:spacing w:after="120"/>
        <w:ind w:firstLine="720"/>
        <w:jc w:val="right"/>
        <w:rPr>
          <w:rFonts w:ascii="SP LulinML" w:hAnsi="SP LulinML" w:cs="Times New Roman"/>
          <w:sz w:val="24"/>
          <w:szCs w:val="24"/>
        </w:rPr>
      </w:pPr>
      <w:r w:rsidRPr="0073156E">
        <w:rPr>
          <w:rFonts w:ascii="SP LulinML" w:hAnsi="SP LulinML" w:cs="Times New Roman"/>
          <w:sz w:val="24"/>
          <w:szCs w:val="24"/>
        </w:rPr>
        <w:t xml:space="preserve">Appendix </w:t>
      </w:r>
      <w:r w:rsidR="000854E6" w:rsidRPr="0073156E">
        <w:rPr>
          <w:rFonts w:ascii="SP LulinML" w:hAnsi="SP LulinML" w:cs="Times New Roman"/>
          <w:sz w:val="24"/>
          <w:szCs w:val="24"/>
        </w:rPr>
        <w:t xml:space="preserve">No </w:t>
      </w:r>
      <w:r w:rsidRPr="0073156E">
        <w:rPr>
          <w:rFonts w:ascii="SP LulinML" w:hAnsi="SP LulinML" w:cs="Times New Roman"/>
          <w:sz w:val="24"/>
          <w:szCs w:val="24"/>
        </w:rPr>
        <w:t>2</w:t>
      </w:r>
      <w:r w:rsidR="0073156E" w:rsidRPr="0073156E">
        <w:rPr>
          <w:rFonts w:ascii="SP LulinML" w:hAnsi="SP LulinML" w:cs="Times New Roman"/>
          <w:sz w:val="24"/>
          <w:szCs w:val="24"/>
        </w:rPr>
        <w:br/>
      </w:r>
      <w:bookmarkStart w:id="0" w:name="_GoBack"/>
      <w:bookmarkEnd w:id="0"/>
      <w:r w:rsidRPr="0073156E">
        <w:rPr>
          <w:rFonts w:ascii="SP LulinML" w:hAnsi="SP LulinML" w:cs="Times New Roman"/>
          <w:sz w:val="24"/>
          <w:szCs w:val="24"/>
        </w:rPr>
        <w:t xml:space="preserve"> to Article 3, paragraph 2, point 3</w:t>
      </w:r>
    </w:p>
    <w:p w:rsidR="00654459" w:rsidRPr="0073156E" w:rsidRDefault="00654459" w:rsidP="00654459">
      <w:pPr>
        <w:spacing w:after="120"/>
        <w:ind w:firstLine="720"/>
        <w:jc w:val="both"/>
        <w:rPr>
          <w:rFonts w:ascii="SP LulinML" w:hAnsi="SP LulinML" w:cs="Times New Roman"/>
          <w:sz w:val="24"/>
          <w:szCs w:val="24"/>
        </w:rPr>
      </w:pPr>
      <w:r w:rsidRPr="0073156E">
        <w:rPr>
          <w:rFonts w:ascii="SP LulinML" w:hAnsi="SP LulinML" w:cs="Times New Roman"/>
          <w:sz w:val="24"/>
          <w:szCs w:val="24"/>
        </w:rPr>
        <w:t xml:space="preserve"> </w:t>
      </w:r>
    </w:p>
    <w:p w:rsidR="00654459" w:rsidRPr="0073156E" w:rsidRDefault="000854E6" w:rsidP="00654459">
      <w:pPr>
        <w:spacing w:after="120"/>
        <w:ind w:firstLine="720"/>
        <w:jc w:val="center"/>
        <w:rPr>
          <w:rFonts w:ascii="SP LulinML" w:hAnsi="SP LulinML" w:cs="Times New Roman"/>
          <w:b/>
          <w:sz w:val="24"/>
          <w:szCs w:val="24"/>
        </w:rPr>
      </w:pPr>
      <w:r w:rsidRPr="0073156E">
        <w:rPr>
          <w:rFonts w:ascii="SP LulinML" w:hAnsi="SP LulinML" w:cs="Times New Roman"/>
          <w:b/>
          <w:sz w:val="24"/>
          <w:szCs w:val="24"/>
        </w:rPr>
        <w:t>Assessment of the F</w:t>
      </w:r>
      <w:r w:rsidR="00654459" w:rsidRPr="0073156E">
        <w:rPr>
          <w:rFonts w:ascii="SP LulinML" w:hAnsi="SP LulinML" w:cs="Times New Roman"/>
          <w:b/>
          <w:sz w:val="24"/>
          <w:szCs w:val="24"/>
        </w:rPr>
        <w:t xml:space="preserve">inancial </w:t>
      </w:r>
      <w:r w:rsidRPr="0073156E">
        <w:rPr>
          <w:rFonts w:ascii="SP LulinML" w:hAnsi="SP LulinML" w:cs="Times New Roman"/>
          <w:b/>
          <w:sz w:val="24"/>
          <w:szCs w:val="24"/>
        </w:rPr>
        <w:t>S</w:t>
      </w:r>
      <w:r w:rsidR="00654459" w:rsidRPr="0073156E">
        <w:rPr>
          <w:rFonts w:ascii="SP LulinML" w:hAnsi="SP LulinML" w:cs="Times New Roman"/>
          <w:b/>
          <w:sz w:val="24"/>
          <w:szCs w:val="24"/>
        </w:rPr>
        <w:t>oundness</w:t>
      </w:r>
      <w:r w:rsidR="00654459" w:rsidRPr="0073156E">
        <w:rPr>
          <w:rFonts w:ascii="SP LulinML" w:hAnsi="SP LulinML" w:cs="Times New Roman"/>
          <w:sz w:val="24"/>
          <w:szCs w:val="24"/>
        </w:rPr>
        <w:t xml:space="preserve"> </w:t>
      </w:r>
      <w:r w:rsidR="00654459" w:rsidRPr="0073156E">
        <w:rPr>
          <w:rFonts w:ascii="SP LulinML" w:hAnsi="SP LulinML" w:cs="Times New Roman"/>
          <w:b/>
          <w:sz w:val="24"/>
          <w:szCs w:val="24"/>
        </w:rPr>
        <w:t xml:space="preserve">of </w:t>
      </w:r>
      <w:r w:rsidRPr="0073156E">
        <w:rPr>
          <w:rFonts w:ascii="SP LulinML" w:hAnsi="SP LulinML" w:cs="Times New Roman"/>
          <w:b/>
          <w:sz w:val="24"/>
          <w:szCs w:val="24"/>
        </w:rPr>
        <w:t>I</w:t>
      </w:r>
      <w:r w:rsidR="00654459" w:rsidRPr="0073156E">
        <w:rPr>
          <w:rFonts w:ascii="SP LulinML" w:hAnsi="SP LulinML" w:cs="Times New Roman"/>
          <w:b/>
          <w:sz w:val="24"/>
          <w:szCs w:val="24"/>
        </w:rPr>
        <w:t>nstitutions</w:t>
      </w:r>
    </w:p>
    <w:p w:rsidR="00654459" w:rsidRPr="0073156E" w:rsidRDefault="00654459" w:rsidP="00654459">
      <w:pPr>
        <w:spacing w:after="120"/>
        <w:ind w:firstLine="720"/>
        <w:jc w:val="both"/>
        <w:rPr>
          <w:rFonts w:ascii="SP LulinML" w:hAnsi="SP LulinML" w:cs="Times New Roman"/>
          <w:sz w:val="24"/>
          <w:szCs w:val="24"/>
        </w:rPr>
      </w:pPr>
      <w:r w:rsidRPr="0073156E">
        <w:rPr>
          <w:rFonts w:ascii="SP LulinML" w:hAnsi="SP LulinML" w:cs="Times New Roman"/>
          <w:sz w:val="24"/>
          <w:szCs w:val="24"/>
        </w:rPr>
        <w:t xml:space="preserve">1. When assessing the financial soundness of institutions with a view to their admission to participate in </w:t>
      </w:r>
      <w:proofErr w:type="spellStart"/>
      <w:r w:rsidRPr="0073156E">
        <w:rPr>
          <w:rFonts w:ascii="SP LulinML" w:hAnsi="SP LulinML" w:cs="Times New Roman"/>
          <w:sz w:val="24"/>
          <w:szCs w:val="24"/>
        </w:rPr>
        <w:t>Eurosystem</w:t>
      </w:r>
      <w:proofErr w:type="spellEnd"/>
      <w:r w:rsidRPr="0073156E">
        <w:rPr>
          <w:rFonts w:ascii="SP LulinML" w:hAnsi="SP LulinML" w:cs="Times New Roman"/>
          <w:sz w:val="24"/>
          <w:szCs w:val="24"/>
        </w:rPr>
        <w:t xml:space="preserve"> monetary policy operations, the BNB shall take into account:</w:t>
      </w:r>
    </w:p>
    <w:p w:rsidR="00654459" w:rsidRPr="0073156E" w:rsidRDefault="00654459" w:rsidP="00654459">
      <w:pPr>
        <w:spacing w:after="120"/>
        <w:ind w:firstLine="720"/>
        <w:jc w:val="both"/>
        <w:rPr>
          <w:rFonts w:ascii="SP LulinML" w:hAnsi="SP LulinML" w:cs="Times New Roman"/>
          <w:sz w:val="24"/>
          <w:szCs w:val="24"/>
        </w:rPr>
      </w:pPr>
      <w:r w:rsidRPr="0073156E">
        <w:rPr>
          <w:rFonts w:ascii="SP LulinML" w:hAnsi="SP LulinML" w:cs="Times New Roman"/>
          <w:sz w:val="24"/>
          <w:szCs w:val="24"/>
        </w:rPr>
        <w:t>(a) quarterly information on capital, leverage and liquidity ratios reported under Regulation (EU) No 575/2013 on an individual and consolidated basis, in accordance with supervisory requirements; or</w:t>
      </w:r>
    </w:p>
    <w:p w:rsidR="00654459" w:rsidRPr="0073156E" w:rsidRDefault="00654459" w:rsidP="00654459">
      <w:pPr>
        <w:spacing w:after="120"/>
        <w:ind w:firstLine="720"/>
        <w:jc w:val="both"/>
        <w:rPr>
          <w:rFonts w:ascii="SP LulinML" w:hAnsi="SP LulinML" w:cs="Times New Roman"/>
          <w:sz w:val="24"/>
          <w:szCs w:val="24"/>
        </w:rPr>
      </w:pPr>
      <w:r w:rsidRPr="0073156E">
        <w:rPr>
          <w:rFonts w:ascii="SP LulinML" w:hAnsi="SP LulinML" w:cs="Times New Roman"/>
          <w:sz w:val="24"/>
          <w:szCs w:val="24"/>
        </w:rPr>
        <w:t xml:space="preserve">(b) </w:t>
      </w:r>
      <w:proofErr w:type="gramStart"/>
      <w:r w:rsidRPr="0073156E">
        <w:rPr>
          <w:rFonts w:ascii="SP LulinML" w:hAnsi="SP LulinML" w:cs="Times New Roman"/>
          <w:sz w:val="24"/>
          <w:szCs w:val="24"/>
        </w:rPr>
        <w:t>where</w:t>
      </w:r>
      <w:proofErr w:type="gramEnd"/>
      <w:r w:rsidRPr="0073156E">
        <w:rPr>
          <w:rFonts w:ascii="SP LulinML" w:hAnsi="SP LulinML" w:cs="Times New Roman"/>
          <w:sz w:val="24"/>
          <w:szCs w:val="24"/>
        </w:rPr>
        <w:t xml:space="preserve"> applicable, prudential information that is comparable to the information under point (a).</w:t>
      </w:r>
    </w:p>
    <w:p w:rsidR="00654459" w:rsidRPr="0073156E" w:rsidRDefault="00654459" w:rsidP="00654459">
      <w:pPr>
        <w:spacing w:after="120"/>
        <w:ind w:firstLine="720"/>
        <w:jc w:val="both"/>
        <w:rPr>
          <w:rFonts w:ascii="SP LulinML" w:hAnsi="SP LulinML" w:cs="Times New Roman"/>
          <w:sz w:val="24"/>
          <w:szCs w:val="24"/>
        </w:rPr>
      </w:pPr>
      <w:r w:rsidRPr="0073156E">
        <w:rPr>
          <w:rFonts w:ascii="SP LulinML" w:hAnsi="SP LulinML" w:cs="Times New Roman"/>
          <w:sz w:val="24"/>
          <w:szCs w:val="24"/>
        </w:rPr>
        <w:t>2. In the event that the supervisory authority of the institution does not provide this prudential information to the BNB or the ECB, the BNB or the ECB may require the institution to provide the information. When the information is provided directly by an institution, it shall also submit an assessment of the information carried out by the relevant supervisory authority. The Bulgarian National Bank may also require additional certification by an external auditor.</w:t>
      </w:r>
    </w:p>
    <w:p w:rsidR="00654459" w:rsidRPr="0073156E" w:rsidRDefault="00654459" w:rsidP="00654459">
      <w:pPr>
        <w:spacing w:after="120"/>
        <w:ind w:firstLine="720"/>
        <w:jc w:val="both"/>
        <w:rPr>
          <w:rFonts w:ascii="SP LulinML" w:hAnsi="SP LulinML" w:cs="Times New Roman"/>
          <w:sz w:val="24"/>
          <w:szCs w:val="24"/>
        </w:rPr>
      </w:pPr>
      <w:r w:rsidRPr="0073156E">
        <w:rPr>
          <w:rFonts w:ascii="SP LulinML" w:hAnsi="SP LulinML" w:cs="Times New Roman"/>
          <w:sz w:val="24"/>
          <w:szCs w:val="24"/>
        </w:rPr>
        <w:t>3. For branches, the information under item 1 for the institution to which the branch belongs shall be taken into account.</w:t>
      </w:r>
    </w:p>
    <w:p w:rsidR="00654459" w:rsidRPr="0073156E" w:rsidRDefault="00654459" w:rsidP="00654459">
      <w:pPr>
        <w:spacing w:after="120"/>
        <w:ind w:firstLine="720"/>
        <w:jc w:val="both"/>
        <w:rPr>
          <w:rFonts w:ascii="SP LulinML" w:hAnsi="SP LulinML" w:cs="Times New Roman"/>
          <w:sz w:val="24"/>
          <w:szCs w:val="24"/>
        </w:rPr>
      </w:pPr>
      <w:r w:rsidRPr="0073156E">
        <w:rPr>
          <w:rFonts w:ascii="SP LulinML" w:hAnsi="SP LulinML" w:cs="Times New Roman"/>
          <w:sz w:val="24"/>
          <w:szCs w:val="24"/>
        </w:rPr>
        <w:t xml:space="preserve">4. As regards the assessment of the financial soundness of institutions that have been subject to in-kind </w:t>
      </w:r>
      <w:proofErr w:type="spellStart"/>
      <w:r w:rsidRPr="0073156E">
        <w:rPr>
          <w:rFonts w:ascii="SP LulinML" w:hAnsi="SP LulinML" w:cs="Times New Roman"/>
          <w:sz w:val="24"/>
          <w:szCs w:val="24"/>
        </w:rPr>
        <w:t>recapitalisation</w:t>
      </w:r>
      <w:proofErr w:type="spellEnd"/>
      <w:r w:rsidRPr="0073156E">
        <w:rPr>
          <w:rFonts w:ascii="SP LulinML" w:hAnsi="SP LulinML" w:cs="Times New Roman"/>
          <w:sz w:val="24"/>
          <w:szCs w:val="24"/>
        </w:rPr>
        <w:t xml:space="preserve"> with public debt instruments, in ensuring compliance with the requirements for capital ratios reported under Regulation (EU) No 575/2013</w:t>
      </w:r>
      <w:r w:rsidR="000854E6" w:rsidRPr="0073156E">
        <w:rPr>
          <w:rFonts w:ascii="SP LulinML" w:hAnsi="SP LulinML" w:cs="Times New Roman"/>
          <w:sz w:val="24"/>
          <w:szCs w:val="24"/>
        </w:rPr>
        <w:t>,</w:t>
      </w:r>
      <w:r w:rsidRPr="0073156E">
        <w:rPr>
          <w:rFonts w:ascii="SP LulinML" w:hAnsi="SP LulinML" w:cs="Times New Roman"/>
          <w:sz w:val="24"/>
          <w:szCs w:val="24"/>
        </w:rPr>
        <w:t xml:space="preserve"> the BNB shall take into account the methods used in the in-kind </w:t>
      </w:r>
      <w:proofErr w:type="spellStart"/>
      <w:r w:rsidRPr="0073156E">
        <w:rPr>
          <w:rFonts w:ascii="SP LulinML" w:hAnsi="SP LulinML" w:cs="Times New Roman"/>
          <w:sz w:val="24"/>
          <w:szCs w:val="24"/>
        </w:rPr>
        <w:t>recapitalisations</w:t>
      </w:r>
      <w:proofErr w:type="spellEnd"/>
      <w:r w:rsidRPr="0073156E">
        <w:rPr>
          <w:rFonts w:ascii="SP LulinML" w:hAnsi="SP LulinML" w:cs="Times New Roman"/>
          <w:sz w:val="24"/>
          <w:szCs w:val="24"/>
        </w:rPr>
        <w:t xml:space="preserve"> and its role, including the type and liquidity of the instruments and the market access of the issuer of the instruments.</w:t>
      </w:r>
    </w:p>
    <w:p w:rsidR="00654459" w:rsidRPr="0073156E" w:rsidRDefault="00654459" w:rsidP="00654459">
      <w:pPr>
        <w:spacing w:after="120"/>
        <w:ind w:firstLine="720"/>
        <w:jc w:val="both"/>
        <w:rPr>
          <w:rFonts w:ascii="SP LulinML" w:hAnsi="SP LulinML" w:cs="Times New Roman"/>
          <w:sz w:val="24"/>
          <w:szCs w:val="24"/>
        </w:rPr>
      </w:pPr>
      <w:r w:rsidRPr="0073156E">
        <w:rPr>
          <w:rFonts w:ascii="SP LulinML" w:hAnsi="SP LulinML" w:cs="Times New Roman"/>
          <w:sz w:val="24"/>
          <w:szCs w:val="24"/>
        </w:rPr>
        <w:t xml:space="preserve">5. </w:t>
      </w:r>
      <w:r w:rsidRPr="0073156E">
        <w:rPr>
          <w:rFonts w:ascii="SP LulinML" w:hAnsi="SP LulinML" w:cs="Times New Roman"/>
          <w:bCs/>
          <w:sz w:val="24"/>
          <w:szCs w:val="24"/>
        </w:rPr>
        <w:t>A wind-</w:t>
      </w:r>
      <w:r w:rsidRPr="0073156E">
        <w:rPr>
          <w:rFonts w:ascii="SP LulinML" w:hAnsi="SP LulinML" w:cs="Times New Roman"/>
          <w:sz w:val="24"/>
          <w:szCs w:val="24"/>
        </w:rPr>
        <w:t xml:space="preserve">down </w:t>
      </w:r>
      <w:r w:rsidRPr="0073156E">
        <w:rPr>
          <w:rFonts w:ascii="SP LulinML" w:hAnsi="SP LulinML" w:cs="Times New Roman"/>
          <w:bCs/>
          <w:sz w:val="24"/>
          <w:szCs w:val="24"/>
        </w:rPr>
        <w:t>entity shall not</w:t>
      </w:r>
      <w:r w:rsidRPr="0073156E">
        <w:rPr>
          <w:rFonts w:ascii="SP LulinML" w:hAnsi="SP LulinML" w:cs="Times New Roman"/>
          <w:sz w:val="24"/>
          <w:szCs w:val="24"/>
        </w:rPr>
        <w:t xml:space="preserve"> be </w:t>
      </w:r>
      <w:r w:rsidRPr="0073156E">
        <w:rPr>
          <w:rFonts w:ascii="SP LulinML" w:hAnsi="SP LulinML" w:cs="Times New Roman"/>
          <w:bCs/>
          <w:sz w:val="24"/>
          <w:szCs w:val="24"/>
        </w:rPr>
        <w:t xml:space="preserve">eligible to access </w:t>
      </w:r>
      <w:proofErr w:type="spellStart"/>
      <w:r w:rsidRPr="0073156E">
        <w:rPr>
          <w:rFonts w:ascii="SP LulinML" w:hAnsi="SP LulinML" w:cs="Times New Roman"/>
          <w:bCs/>
          <w:sz w:val="24"/>
          <w:szCs w:val="24"/>
        </w:rPr>
        <w:t>Eurosystem</w:t>
      </w:r>
      <w:proofErr w:type="spellEnd"/>
      <w:r w:rsidRPr="0073156E">
        <w:rPr>
          <w:rFonts w:ascii="SP LulinML" w:hAnsi="SP LulinML" w:cs="Times New Roman"/>
          <w:bCs/>
          <w:sz w:val="24"/>
          <w:szCs w:val="24"/>
        </w:rPr>
        <w:t xml:space="preserve"> monetary policy operations</w:t>
      </w:r>
      <w:r w:rsidRPr="0073156E">
        <w:rPr>
          <w:rFonts w:ascii="SP LulinML" w:hAnsi="SP LulinML" w:cs="Times New Roman"/>
          <w:sz w:val="24"/>
          <w:szCs w:val="24"/>
        </w:rPr>
        <w:t>.</w:t>
      </w:r>
    </w:p>
    <w:p w:rsidR="00654459" w:rsidRPr="0073156E" w:rsidRDefault="00654459" w:rsidP="00654459">
      <w:pPr>
        <w:spacing w:after="120"/>
        <w:ind w:firstLine="720"/>
        <w:jc w:val="both"/>
        <w:rPr>
          <w:rFonts w:ascii="SP LulinML" w:hAnsi="SP LulinML" w:cs="Times New Roman"/>
          <w:sz w:val="24"/>
          <w:szCs w:val="24"/>
        </w:rPr>
      </w:pPr>
    </w:p>
    <w:p w:rsidR="001D6AED" w:rsidRPr="0073156E" w:rsidRDefault="001D6AED">
      <w:pPr>
        <w:rPr>
          <w:rFonts w:ascii="SP LulinML" w:hAnsi="SP LulinML"/>
        </w:rPr>
      </w:pPr>
    </w:p>
    <w:sectPr w:rsidR="001D6AED" w:rsidRPr="0073156E">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P LulinML">
    <w:panose1 w:val="02000503070000020003"/>
    <w:charset w:val="00"/>
    <w:family w:val="modern"/>
    <w:notTrueType/>
    <w:pitch w:val="variable"/>
    <w:sig w:usb0="800002AF" w:usb1="40000013"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2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4459"/>
    <w:rsid w:val="000854E6"/>
    <w:rsid w:val="001D6AED"/>
    <w:rsid w:val="00654459"/>
    <w:rsid w:val="007315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32A329-4E1F-4053-B2C2-A90C7B345B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445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259</Words>
  <Characters>1478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Анета Цветкова</dc:creator>
  <cp:keywords/>
  <dc:description/>
  <cp:lastModifiedBy>Виктор Тачинов</cp:lastModifiedBy>
  <cp:revision>3</cp:revision>
  <dcterms:created xsi:type="dcterms:W3CDTF">2025-09-22T13:40:00Z</dcterms:created>
  <dcterms:modified xsi:type="dcterms:W3CDTF">2025-10-02T07:13:00Z</dcterms:modified>
</cp:coreProperties>
</file>