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510" w:rsidRPr="00767510" w:rsidRDefault="00767510" w:rsidP="00767510">
      <w:pPr>
        <w:pStyle w:val="01-PRESSRELEASE"/>
      </w:pPr>
      <w:r w:rsidRPr="00767510">
        <w:t>ПРЕССЪОБЩЕНИЕ</w:t>
      </w:r>
    </w:p>
    <w:p w:rsidR="00767510" w:rsidRPr="0085669D" w:rsidRDefault="0001644F" w:rsidP="00767510">
      <w:pPr>
        <w:pStyle w:val="02-DATE"/>
        <w:rPr>
          <w:rFonts w:cs="Arial"/>
        </w:rPr>
      </w:pPr>
      <w:r>
        <w:t>16</w:t>
      </w:r>
      <w:r w:rsidR="00767510" w:rsidRPr="002D1CD7">
        <w:t xml:space="preserve"> </w:t>
      </w:r>
      <w:r w:rsidR="008E0610">
        <w:t>дек</w:t>
      </w:r>
      <w:r>
        <w:t>ември</w:t>
      </w:r>
      <w:r w:rsidR="00767510">
        <w:t xml:space="preserve"> </w:t>
      </w:r>
      <w:r w:rsidR="00767510" w:rsidRPr="002D1CD7">
        <w:t>20</w:t>
      </w:r>
      <w:r w:rsidR="00767510">
        <w:t>21</w:t>
      </w:r>
      <w:r w:rsidR="00767510" w:rsidRPr="002D1CD7">
        <w:t xml:space="preserve"> г.</w:t>
      </w:r>
    </w:p>
    <w:p w:rsidR="008E0610" w:rsidRDefault="008E0610" w:rsidP="008E0610">
      <w:pPr>
        <w:pStyle w:val="04-TEXTFIRST"/>
      </w:pPr>
      <w:r>
        <w:t xml:space="preserve">Управителният съвет на БНБ увеличи нивото на антицикличния капиталов буфер, приложим към кредитни рискови експозиции в Република България, на 1.5% в сила от 1 януари 2023 г., на основата на оценка по чл. 5, ал. 3 и ал. 4 от Наредба № 8 на БНБ за капиталовите буфери, комбинираното изискване за буфер, ограниченията върху разпределенията и препоръката за допълнителен собствен капитал. </w:t>
      </w:r>
    </w:p>
    <w:p w:rsidR="008E0610" w:rsidRDefault="008E0610" w:rsidP="008E0610">
      <w:pPr>
        <w:pStyle w:val="04-TEXTFIRST"/>
      </w:pPr>
      <w:r>
        <w:t>Съгласно чл. 5, ал. 3 от Наредба № 8 на БНБ, при оценката за нивото на антицикличния буфер се отчитат както референтният индикатор по чл. 5, ал. 1, така и съответните насоки на Европейския съвет за системен риск (ЕССР) и други показатели, които БНБ е преценила за подходящи за отразяване на цикличния системен риск. По отношение на данните, свързани с референтния индикатор, към края на третото тримесечие на 2021 г. съотношението кредит/БВП, изчислено според публикуваната на интернет страницата на Българската народна банка методология, възлиза на 96.1%. Отклонението на показателя от дългосрочния тренд е отрицателно (-29.5 процентни пункта), което съответства на нулева стойност на референтния индикатор за антицикличния буфер.</w:t>
      </w:r>
    </w:p>
    <w:p w:rsidR="008E0610" w:rsidRDefault="008E0610" w:rsidP="008E0610">
      <w:pPr>
        <w:pStyle w:val="04-TEXTFIRST"/>
      </w:pPr>
      <w:r>
        <w:t>Тъй като стандартният показател за отклонението на съотношението кредит/БВП от дългосрочния тренд не отразява напълно тенденциите в цикличните рискове, при оценката за нивото на антицикличния буфер се вземат под внимание и допълнителни индикатори, фокусирани върху кредитния пазар, задлъжнялостта, пазара на недвижими имоти, както и общото състояние на икономическата среда.</w:t>
      </w:r>
    </w:p>
    <w:p w:rsidR="008E0610" w:rsidRDefault="008E0610" w:rsidP="008E0610">
      <w:pPr>
        <w:pStyle w:val="04-TEXTFIRST"/>
      </w:pPr>
      <w:r>
        <w:t xml:space="preserve">Кредитите за домакинства нарастват с ускорени темпове, особено в сегмента на жилищните кредити. Продължителното запазване на текущите темпове на кредитен растеж при съществуващите нива на реалните лихвени проценти създава </w:t>
      </w:r>
      <w:bookmarkStart w:id="0" w:name="_GoBack"/>
      <w:bookmarkEnd w:id="0"/>
      <w:r>
        <w:t>предпоставки за увеличение на задлъжнялостта, което може да се отрази негативно върху способността на кредитополучателите да обслужват задълженията си и да доведе до нарастване на необслужваните кредити и обезценките при потенциално влошаване на икономическата среда. В отговор на тези рискове на 16 септември 2021 г. Управителният съвет на БНБ увеличи нивото на антицикличния буфер, приложим към местни кредитни рискови експозиции, на 1.0% в сила от 1 октомври 2022 г., като за периода до края на третото тримесечие на 2022 г. равнището на буфера остава на текущото ниво от 0.5%.</w:t>
      </w:r>
    </w:p>
    <w:p w:rsidR="00F84449" w:rsidRPr="00F84449" w:rsidRDefault="008E0610" w:rsidP="008E0610">
      <w:pPr>
        <w:pStyle w:val="04-TEXTFIRST"/>
      </w:pPr>
      <w:r>
        <w:t xml:space="preserve">Текущата политика на банките за поддържане на кредитната активност в сегментите на жилищното строителство и на кредитите, обезпечени с търговско и недвижимо имущество, макар и защитена като индивидуални кредитни решения и покрита с наличните ликвидни и капиталови буфери, има общосистемна проекция, което налага продължаване на проактивната позиция за изграждането на буферен капацитет срещу цикличните рискове. Предвид на запазващата се висока кредитна </w:t>
      </w:r>
      <w:r>
        <w:lastRenderedPageBreak/>
        <w:t>активност и несигурността по отношение на развитието на икономическата среда, повишението на равнището на антицикличния буфер от 1.0% на 1.5% в сила от 1 януари 2023 г. има за цел да засили устойчивостта на банковата система при натиск върху доходността и капиталовата позиция, предизвикан от потенциално нарастване на необслужваните кредити и обезценките. В съответствие с чл. 5, ал. 5 от Наредба № 8 на Българската народна банка, решението за увеличаване на нивото на антицикличния буфер се оповестява 12 месеца преди влизането му в сила.</w:t>
      </w:r>
    </w:p>
    <w:p w:rsidR="00B941AD" w:rsidRPr="005103D0" w:rsidRDefault="0085669D" w:rsidP="0038249A">
      <w:pPr>
        <w:pStyle w:val="04-TEXTFIRST"/>
      </w:pPr>
      <w:r w:rsidRPr="0085669D">
        <w:t xml:space="preserve">Допълнителна информация за използваната методология и </w:t>
      </w:r>
      <w:r w:rsidR="00AF4318">
        <w:t>предишните</w:t>
      </w:r>
      <w:r w:rsidR="00AF4318" w:rsidRPr="0085669D">
        <w:t xml:space="preserve"> </w:t>
      </w:r>
      <w:r w:rsidRPr="0085669D">
        <w:t xml:space="preserve">решения </w:t>
      </w:r>
      <w:r w:rsidR="00AF4318">
        <w:t xml:space="preserve">за антицикличния капиталов буфер </w:t>
      </w:r>
      <w:r w:rsidRPr="0085669D">
        <w:t>може да се намери в раздел „</w:t>
      </w:r>
      <w:hyperlink r:id="rId8" w:history="1">
        <w:r w:rsidR="00C75245" w:rsidRPr="00E0176E">
          <w:rPr>
            <w:rStyle w:val="Hyperlink"/>
            <w:rFonts w:cs="Arial"/>
            <w:color w:val="FF0000"/>
          </w:rPr>
          <w:t>Капиталови буфери</w:t>
        </w:r>
      </w:hyperlink>
      <w:r w:rsidRPr="0085669D">
        <w:t>“.</w:t>
      </w:r>
    </w:p>
    <w:sectPr w:rsidR="00B941AD" w:rsidRPr="005103D0" w:rsidSect="00687A29">
      <w:headerReference w:type="default" r:id="rId9"/>
      <w:footerReference w:type="default" r:id="rId10"/>
      <w:headerReference w:type="first" r:id="rId11"/>
      <w:pgSz w:w="11906" w:h="16838" w:code="9"/>
      <w:pgMar w:top="1438" w:right="851" w:bottom="1440" w:left="1418" w:header="357" w:footer="56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8CF" w:rsidRDefault="00D718CF">
      <w:r>
        <w:separator/>
      </w:r>
    </w:p>
  </w:endnote>
  <w:endnote w:type="continuationSeparator" w:id="0">
    <w:p w:rsidR="00D718CF" w:rsidRDefault="00D71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A29" w:rsidRDefault="00687A29" w:rsidP="00687A29">
    <w:pPr>
      <w:pStyle w:val="Footer"/>
      <w:jc w:val="right"/>
    </w:pPr>
    <w:r>
      <w:t xml:space="preserve">с. </w:t>
    </w:r>
    <w:r>
      <w:fldChar w:fldCharType="begin"/>
    </w:r>
    <w:r>
      <w:instrText xml:space="preserve"> PAGE   \* MERGEFORMAT </w:instrText>
    </w:r>
    <w:r>
      <w:fldChar w:fldCharType="separate"/>
    </w:r>
    <w:r w:rsidR="008E0610">
      <w:rPr>
        <w:noProof/>
      </w:rPr>
      <w:t>2</w:t>
    </w:r>
    <w:r>
      <w:fldChar w:fldCharType="end"/>
    </w:r>
    <w:r>
      <w:t>/</w:t>
    </w:r>
    <w:r w:rsidR="0038249A">
      <w:rPr>
        <w:noProof/>
      </w:rPr>
      <w:fldChar w:fldCharType="begin"/>
    </w:r>
    <w:r w:rsidR="0038249A">
      <w:rPr>
        <w:noProof/>
      </w:rPr>
      <w:instrText xml:space="preserve"> NUMPAGES   \* MERGEFORMAT </w:instrText>
    </w:r>
    <w:r w:rsidR="0038249A">
      <w:rPr>
        <w:noProof/>
      </w:rPr>
      <w:fldChar w:fldCharType="separate"/>
    </w:r>
    <w:r w:rsidR="008E0610">
      <w:rPr>
        <w:noProof/>
      </w:rPr>
      <w:t>2</w:t>
    </w:r>
    <w:r w:rsidR="0038249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8CF" w:rsidRDefault="00D718CF">
      <w:r>
        <w:separator/>
      </w:r>
    </w:p>
  </w:footnote>
  <w:footnote w:type="continuationSeparator" w:id="0">
    <w:p w:rsidR="00D718CF" w:rsidRDefault="00D718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2333" w:rsidRDefault="002F2333">
    <w:pPr>
      <w:pStyle w:val="Header"/>
      <w:tabs>
        <w:tab w:val="center" w:pos="-180"/>
      </w:tabs>
      <w:jc w:val="center"/>
      <w:rPr>
        <w:lang w:val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510" w:rsidRDefault="00767510" w:rsidP="00767510">
    <w:pPr>
      <w:pStyle w:val="Header"/>
    </w:pPr>
    <w:r>
      <w:rPr>
        <w:noProof/>
      </w:rPr>
      <w:drawing>
        <wp:inline distT="0" distB="0" distL="0" distR="0">
          <wp:extent cx="6124575" cy="1076325"/>
          <wp:effectExtent l="0" t="0" r="9525" b="9525"/>
          <wp:docPr id="1" name="Picture 1" descr="BNB_logo_PR_2018_B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NB_logo_PR_2018_B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67510" w:rsidRDefault="0076751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B1A0A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14E728A"/>
    <w:multiLevelType w:val="hybridMultilevel"/>
    <w:tmpl w:val="EC18FAFE"/>
    <w:lvl w:ilvl="0" w:tplc="0402000F">
      <w:start w:val="1"/>
      <w:numFmt w:val="decimal"/>
      <w:lvlText w:val="%1."/>
      <w:lvlJc w:val="left"/>
      <w:pPr>
        <w:ind w:left="1287" w:hanging="360"/>
      </w:pPr>
    </w:lvl>
    <w:lvl w:ilvl="1" w:tplc="04020019" w:tentative="1">
      <w:start w:val="1"/>
      <w:numFmt w:val="lowerLetter"/>
      <w:lvlText w:val="%2."/>
      <w:lvlJc w:val="left"/>
      <w:pPr>
        <w:ind w:left="2007" w:hanging="360"/>
      </w:pPr>
    </w:lvl>
    <w:lvl w:ilvl="2" w:tplc="0402001B" w:tentative="1">
      <w:start w:val="1"/>
      <w:numFmt w:val="lowerRoman"/>
      <w:lvlText w:val="%3."/>
      <w:lvlJc w:val="right"/>
      <w:pPr>
        <w:ind w:left="2727" w:hanging="180"/>
      </w:pPr>
    </w:lvl>
    <w:lvl w:ilvl="3" w:tplc="0402000F" w:tentative="1">
      <w:start w:val="1"/>
      <w:numFmt w:val="decimal"/>
      <w:lvlText w:val="%4."/>
      <w:lvlJc w:val="left"/>
      <w:pPr>
        <w:ind w:left="3447" w:hanging="360"/>
      </w:pPr>
    </w:lvl>
    <w:lvl w:ilvl="4" w:tplc="04020019" w:tentative="1">
      <w:start w:val="1"/>
      <w:numFmt w:val="lowerLetter"/>
      <w:lvlText w:val="%5."/>
      <w:lvlJc w:val="left"/>
      <w:pPr>
        <w:ind w:left="4167" w:hanging="360"/>
      </w:pPr>
    </w:lvl>
    <w:lvl w:ilvl="5" w:tplc="0402001B" w:tentative="1">
      <w:start w:val="1"/>
      <w:numFmt w:val="lowerRoman"/>
      <w:lvlText w:val="%6."/>
      <w:lvlJc w:val="right"/>
      <w:pPr>
        <w:ind w:left="4887" w:hanging="180"/>
      </w:pPr>
    </w:lvl>
    <w:lvl w:ilvl="6" w:tplc="0402000F" w:tentative="1">
      <w:start w:val="1"/>
      <w:numFmt w:val="decimal"/>
      <w:lvlText w:val="%7."/>
      <w:lvlJc w:val="left"/>
      <w:pPr>
        <w:ind w:left="5607" w:hanging="360"/>
      </w:pPr>
    </w:lvl>
    <w:lvl w:ilvl="7" w:tplc="04020019" w:tentative="1">
      <w:start w:val="1"/>
      <w:numFmt w:val="lowerLetter"/>
      <w:lvlText w:val="%8."/>
      <w:lvlJc w:val="left"/>
      <w:pPr>
        <w:ind w:left="6327" w:hanging="360"/>
      </w:pPr>
    </w:lvl>
    <w:lvl w:ilvl="8" w:tplc="040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590321AD"/>
    <w:multiLevelType w:val="hybridMultilevel"/>
    <w:tmpl w:val="0BE4A8A6"/>
    <w:lvl w:ilvl="0" w:tplc="6096CAF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2000F">
      <w:start w:val="1"/>
      <w:numFmt w:val="decimal"/>
      <w:lvlText w:val="%2."/>
      <w:lvlJc w:val="left"/>
      <w:pPr>
        <w:ind w:left="1931" w:hanging="360"/>
      </w:pPr>
    </w:lvl>
    <w:lvl w:ilvl="2" w:tplc="0402001B" w:tentative="1">
      <w:start w:val="1"/>
      <w:numFmt w:val="lowerRoman"/>
      <w:lvlText w:val="%3."/>
      <w:lvlJc w:val="right"/>
      <w:pPr>
        <w:ind w:left="2651" w:hanging="180"/>
      </w:pPr>
    </w:lvl>
    <w:lvl w:ilvl="3" w:tplc="0402000F" w:tentative="1">
      <w:start w:val="1"/>
      <w:numFmt w:val="decimal"/>
      <w:lvlText w:val="%4."/>
      <w:lvlJc w:val="left"/>
      <w:pPr>
        <w:ind w:left="3371" w:hanging="360"/>
      </w:pPr>
    </w:lvl>
    <w:lvl w:ilvl="4" w:tplc="04020019" w:tentative="1">
      <w:start w:val="1"/>
      <w:numFmt w:val="lowerLetter"/>
      <w:lvlText w:val="%5."/>
      <w:lvlJc w:val="left"/>
      <w:pPr>
        <w:ind w:left="4091" w:hanging="360"/>
      </w:pPr>
    </w:lvl>
    <w:lvl w:ilvl="5" w:tplc="0402001B" w:tentative="1">
      <w:start w:val="1"/>
      <w:numFmt w:val="lowerRoman"/>
      <w:lvlText w:val="%6."/>
      <w:lvlJc w:val="right"/>
      <w:pPr>
        <w:ind w:left="4811" w:hanging="180"/>
      </w:pPr>
    </w:lvl>
    <w:lvl w:ilvl="6" w:tplc="0402000F" w:tentative="1">
      <w:start w:val="1"/>
      <w:numFmt w:val="decimal"/>
      <w:lvlText w:val="%7."/>
      <w:lvlJc w:val="left"/>
      <w:pPr>
        <w:ind w:left="5531" w:hanging="360"/>
      </w:pPr>
    </w:lvl>
    <w:lvl w:ilvl="7" w:tplc="04020019" w:tentative="1">
      <w:start w:val="1"/>
      <w:numFmt w:val="lowerLetter"/>
      <w:lvlText w:val="%8."/>
      <w:lvlJc w:val="left"/>
      <w:pPr>
        <w:ind w:left="6251" w:hanging="360"/>
      </w:pPr>
    </w:lvl>
    <w:lvl w:ilvl="8" w:tplc="0402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F94"/>
    <w:rsid w:val="000015C1"/>
    <w:rsid w:val="00001C2C"/>
    <w:rsid w:val="000118DE"/>
    <w:rsid w:val="0001644F"/>
    <w:rsid w:val="000175E1"/>
    <w:rsid w:val="00017BB8"/>
    <w:rsid w:val="000370BB"/>
    <w:rsid w:val="00070163"/>
    <w:rsid w:val="0007347A"/>
    <w:rsid w:val="00074320"/>
    <w:rsid w:val="00080AC8"/>
    <w:rsid w:val="00091EF0"/>
    <w:rsid w:val="0009698F"/>
    <w:rsid w:val="000A171A"/>
    <w:rsid w:val="000A1B43"/>
    <w:rsid w:val="000A630B"/>
    <w:rsid w:val="000A7A84"/>
    <w:rsid w:val="000B0125"/>
    <w:rsid w:val="000B1FAA"/>
    <w:rsid w:val="000B7049"/>
    <w:rsid w:val="000D2FA8"/>
    <w:rsid w:val="000E4172"/>
    <w:rsid w:val="000E5100"/>
    <w:rsid w:val="000E67D6"/>
    <w:rsid w:val="0010486F"/>
    <w:rsid w:val="00106565"/>
    <w:rsid w:val="001104F6"/>
    <w:rsid w:val="00113DED"/>
    <w:rsid w:val="00117B34"/>
    <w:rsid w:val="001236F4"/>
    <w:rsid w:val="001245DD"/>
    <w:rsid w:val="00132224"/>
    <w:rsid w:val="00140A54"/>
    <w:rsid w:val="001727E3"/>
    <w:rsid w:val="00174AA8"/>
    <w:rsid w:val="0017593C"/>
    <w:rsid w:val="00182C03"/>
    <w:rsid w:val="0018306F"/>
    <w:rsid w:val="001A3737"/>
    <w:rsid w:val="001D60D7"/>
    <w:rsid w:val="001F7682"/>
    <w:rsid w:val="00202B49"/>
    <w:rsid w:val="00204597"/>
    <w:rsid w:val="00224BE7"/>
    <w:rsid w:val="0023250B"/>
    <w:rsid w:val="0023543D"/>
    <w:rsid w:val="002423D1"/>
    <w:rsid w:val="00256973"/>
    <w:rsid w:val="0026539C"/>
    <w:rsid w:val="00273A2F"/>
    <w:rsid w:val="00281BB1"/>
    <w:rsid w:val="002865E3"/>
    <w:rsid w:val="002A364F"/>
    <w:rsid w:val="002A44C2"/>
    <w:rsid w:val="002A46E6"/>
    <w:rsid w:val="002A7FD9"/>
    <w:rsid w:val="002C07DF"/>
    <w:rsid w:val="002D09AA"/>
    <w:rsid w:val="002D1825"/>
    <w:rsid w:val="002F2333"/>
    <w:rsid w:val="002F3BDE"/>
    <w:rsid w:val="002F79F8"/>
    <w:rsid w:val="00300E6D"/>
    <w:rsid w:val="003037B3"/>
    <w:rsid w:val="00305C99"/>
    <w:rsid w:val="00316376"/>
    <w:rsid w:val="0031780B"/>
    <w:rsid w:val="003209D9"/>
    <w:rsid w:val="00335FAF"/>
    <w:rsid w:val="00351995"/>
    <w:rsid w:val="00354F39"/>
    <w:rsid w:val="00366630"/>
    <w:rsid w:val="00376F0E"/>
    <w:rsid w:val="00380D75"/>
    <w:rsid w:val="0038249A"/>
    <w:rsid w:val="00382973"/>
    <w:rsid w:val="003840EC"/>
    <w:rsid w:val="003858EF"/>
    <w:rsid w:val="003A36F5"/>
    <w:rsid w:val="003B13F0"/>
    <w:rsid w:val="003B1432"/>
    <w:rsid w:val="003B1E26"/>
    <w:rsid w:val="003C2581"/>
    <w:rsid w:val="003C3388"/>
    <w:rsid w:val="003D390A"/>
    <w:rsid w:val="003D3A17"/>
    <w:rsid w:val="00402EB9"/>
    <w:rsid w:val="00405B7C"/>
    <w:rsid w:val="00434D8C"/>
    <w:rsid w:val="004364FF"/>
    <w:rsid w:val="0044409D"/>
    <w:rsid w:val="0044448C"/>
    <w:rsid w:val="00454111"/>
    <w:rsid w:val="0047573B"/>
    <w:rsid w:val="00480A27"/>
    <w:rsid w:val="00485291"/>
    <w:rsid w:val="00487754"/>
    <w:rsid w:val="004A0755"/>
    <w:rsid w:val="004A6384"/>
    <w:rsid w:val="004A6A1C"/>
    <w:rsid w:val="004B708A"/>
    <w:rsid w:val="004C03F7"/>
    <w:rsid w:val="004C232E"/>
    <w:rsid w:val="004C4F90"/>
    <w:rsid w:val="004E082D"/>
    <w:rsid w:val="004E0A01"/>
    <w:rsid w:val="004E1849"/>
    <w:rsid w:val="004F5B96"/>
    <w:rsid w:val="004F7B04"/>
    <w:rsid w:val="00500E8D"/>
    <w:rsid w:val="00503A4D"/>
    <w:rsid w:val="00504385"/>
    <w:rsid w:val="005103D0"/>
    <w:rsid w:val="0051128A"/>
    <w:rsid w:val="005202B6"/>
    <w:rsid w:val="005243DE"/>
    <w:rsid w:val="00547467"/>
    <w:rsid w:val="00552BDB"/>
    <w:rsid w:val="00554F6E"/>
    <w:rsid w:val="00560BBD"/>
    <w:rsid w:val="0057062E"/>
    <w:rsid w:val="00571C49"/>
    <w:rsid w:val="00577DA7"/>
    <w:rsid w:val="005A0334"/>
    <w:rsid w:val="005A0FB1"/>
    <w:rsid w:val="005A45D4"/>
    <w:rsid w:val="005B2F92"/>
    <w:rsid w:val="005C1D78"/>
    <w:rsid w:val="005C7329"/>
    <w:rsid w:val="005F4F94"/>
    <w:rsid w:val="005F7C50"/>
    <w:rsid w:val="00600078"/>
    <w:rsid w:val="006170BA"/>
    <w:rsid w:val="006209DB"/>
    <w:rsid w:val="00624703"/>
    <w:rsid w:val="00633B61"/>
    <w:rsid w:val="00633D4A"/>
    <w:rsid w:val="00637521"/>
    <w:rsid w:val="00641888"/>
    <w:rsid w:val="00664442"/>
    <w:rsid w:val="00664905"/>
    <w:rsid w:val="00681039"/>
    <w:rsid w:val="00683CCB"/>
    <w:rsid w:val="00687A29"/>
    <w:rsid w:val="006A4295"/>
    <w:rsid w:val="006A591C"/>
    <w:rsid w:val="006A6D8A"/>
    <w:rsid w:val="006E5A26"/>
    <w:rsid w:val="007032EB"/>
    <w:rsid w:val="007043A8"/>
    <w:rsid w:val="00714528"/>
    <w:rsid w:val="00722A79"/>
    <w:rsid w:val="00723F97"/>
    <w:rsid w:val="0072745E"/>
    <w:rsid w:val="0074310D"/>
    <w:rsid w:val="007456CE"/>
    <w:rsid w:val="00753370"/>
    <w:rsid w:val="007544A7"/>
    <w:rsid w:val="007609C6"/>
    <w:rsid w:val="00767510"/>
    <w:rsid w:val="00781960"/>
    <w:rsid w:val="00782D36"/>
    <w:rsid w:val="0078744E"/>
    <w:rsid w:val="00790046"/>
    <w:rsid w:val="007B0713"/>
    <w:rsid w:val="007C1920"/>
    <w:rsid w:val="007C1AB9"/>
    <w:rsid w:val="007C1C7B"/>
    <w:rsid w:val="007D6D69"/>
    <w:rsid w:val="007E2E35"/>
    <w:rsid w:val="007F6789"/>
    <w:rsid w:val="00805A95"/>
    <w:rsid w:val="00826854"/>
    <w:rsid w:val="00840D63"/>
    <w:rsid w:val="0085669D"/>
    <w:rsid w:val="00874727"/>
    <w:rsid w:val="00882342"/>
    <w:rsid w:val="008832A5"/>
    <w:rsid w:val="00883C90"/>
    <w:rsid w:val="008A4A03"/>
    <w:rsid w:val="008A684B"/>
    <w:rsid w:val="008A6B58"/>
    <w:rsid w:val="008B74DA"/>
    <w:rsid w:val="008D294B"/>
    <w:rsid w:val="008D5882"/>
    <w:rsid w:val="008D62A2"/>
    <w:rsid w:val="008D7622"/>
    <w:rsid w:val="008E0610"/>
    <w:rsid w:val="008F3A90"/>
    <w:rsid w:val="009067F2"/>
    <w:rsid w:val="009069A4"/>
    <w:rsid w:val="009127FE"/>
    <w:rsid w:val="00913669"/>
    <w:rsid w:val="00946541"/>
    <w:rsid w:val="009468F2"/>
    <w:rsid w:val="00966968"/>
    <w:rsid w:val="0097350B"/>
    <w:rsid w:val="00986DF9"/>
    <w:rsid w:val="009947CF"/>
    <w:rsid w:val="009A2733"/>
    <w:rsid w:val="009C1232"/>
    <w:rsid w:val="009E1CE1"/>
    <w:rsid w:val="009E6015"/>
    <w:rsid w:val="009F21E1"/>
    <w:rsid w:val="00A13B4C"/>
    <w:rsid w:val="00A17184"/>
    <w:rsid w:val="00A30955"/>
    <w:rsid w:val="00A363EC"/>
    <w:rsid w:val="00A41B9D"/>
    <w:rsid w:val="00A452D0"/>
    <w:rsid w:val="00A46905"/>
    <w:rsid w:val="00A5000B"/>
    <w:rsid w:val="00A51DD0"/>
    <w:rsid w:val="00A520BA"/>
    <w:rsid w:val="00A52737"/>
    <w:rsid w:val="00A660B5"/>
    <w:rsid w:val="00A717EB"/>
    <w:rsid w:val="00A85466"/>
    <w:rsid w:val="00A97AAA"/>
    <w:rsid w:val="00AA13EB"/>
    <w:rsid w:val="00AA6DFF"/>
    <w:rsid w:val="00AB15CA"/>
    <w:rsid w:val="00AC4C40"/>
    <w:rsid w:val="00AE08A0"/>
    <w:rsid w:val="00AF3185"/>
    <w:rsid w:val="00AF4318"/>
    <w:rsid w:val="00B046BC"/>
    <w:rsid w:val="00B22A9B"/>
    <w:rsid w:val="00B36BF5"/>
    <w:rsid w:val="00B413FC"/>
    <w:rsid w:val="00B44D7E"/>
    <w:rsid w:val="00B5283C"/>
    <w:rsid w:val="00B54440"/>
    <w:rsid w:val="00B55A7D"/>
    <w:rsid w:val="00B627C5"/>
    <w:rsid w:val="00B6698C"/>
    <w:rsid w:val="00B717F3"/>
    <w:rsid w:val="00B8639B"/>
    <w:rsid w:val="00B932A4"/>
    <w:rsid w:val="00B941AD"/>
    <w:rsid w:val="00BA3EED"/>
    <w:rsid w:val="00BC42B4"/>
    <w:rsid w:val="00BC4F2C"/>
    <w:rsid w:val="00BC5FDE"/>
    <w:rsid w:val="00BC6658"/>
    <w:rsid w:val="00BC6EA9"/>
    <w:rsid w:val="00BE3DA7"/>
    <w:rsid w:val="00C112A1"/>
    <w:rsid w:val="00C118DD"/>
    <w:rsid w:val="00C13690"/>
    <w:rsid w:val="00C138C3"/>
    <w:rsid w:val="00C13E06"/>
    <w:rsid w:val="00C25F8C"/>
    <w:rsid w:val="00C27DAA"/>
    <w:rsid w:val="00C34EBD"/>
    <w:rsid w:val="00C45384"/>
    <w:rsid w:val="00C46C4A"/>
    <w:rsid w:val="00C6690A"/>
    <w:rsid w:val="00C75245"/>
    <w:rsid w:val="00C771E3"/>
    <w:rsid w:val="00C85120"/>
    <w:rsid w:val="00CA0597"/>
    <w:rsid w:val="00CB09F1"/>
    <w:rsid w:val="00CB369F"/>
    <w:rsid w:val="00CC3DBB"/>
    <w:rsid w:val="00CD4AA9"/>
    <w:rsid w:val="00CE3E2A"/>
    <w:rsid w:val="00CF22C1"/>
    <w:rsid w:val="00CF656C"/>
    <w:rsid w:val="00D0137E"/>
    <w:rsid w:val="00D0428D"/>
    <w:rsid w:val="00D12263"/>
    <w:rsid w:val="00D229C1"/>
    <w:rsid w:val="00D3447F"/>
    <w:rsid w:val="00D433C8"/>
    <w:rsid w:val="00D475F4"/>
    <w:rsid w:val="00D5087B"/>
    <w:rsid w:val="00D56A0B"/>
    <w:rsid w:val="00D56EAE"/>
    <w:rsid w:val="00D60726"/>
    <w:rsid w:val="00D64D55"/>
    <w:rsid w:val="00D66081"/>
    <w:rsid w:val="00D708D7"/>
    <w:rsid w:val="00D718CF"/>
    <w:rsid w:val="00D73798"/>
    <w:rsid w:val="00D7623D"/>
    <w:rsid w:val="00D80F5A"/>
    <w:rsid w:val="00D857A7"/>
    <w:rsid w:val="00D91240"/>
    <w:rsid w:val="00D9250A"/>
    <w:rsid w:val="00D9329C"/>
    <w:rsid w:val="00D94809"/>
    <w:rsid w:val="00D964B8"/>
    <w:rsid w:val="00DA0BB4"/>
    <w:rsid w:val="00DB68F6"/>
    <w:rsid w:val="00DC2AB4"/>
    <w:rsid w:val="00DD2B7B"/>
    <w:rsid w:val="00DD7677"/>
    <w:rsid w:val="00DE1AB9"/>
    <w:rsid w:val="00DE687A"/>
    <w:rsid w:val="00E0175F"/>
    <w:rsid w:val="00E0176E"/>
    <w:rsid w:val="00E077C1"/>
    <w:rsid w:val="00E15DCD"/>
    <w:rsid w:val="00E16EF1"/>
    <w:rsid w:val="00E2056E"/>
    <w:rsid w:val="00E21DF5"/>
    <w:rsid w:val="00E30C46"/>
    <w:rsid w:val="00E42A1D"/>
    <w:rsid w:val="00E4384E"/>
    <w:rsid w:val="00E474F6"/>
    <w:rsid w:val="00E4775E"/>
    <w:rsid w:val="00E5447C"/>
    <w:rsid w:val="00E54A29"/>
    <w:rsid w:val="00E550D2"/>
    <w:rsid w:val="00E65B32"/>
    <w:rsid w:val="00E65D48"/>
    <w:rsid w:val="00E661EC"/>
    <w:rsid w:val="00E72CB1"/>
    <w:rsid w:val="00E81C6F"/>
    <w:rsid w:val="00EA57F0"/>
    <w:rsid w:val="00EB1DD9"/>
    <w:rsid w:val="00EC6035"/>
    <w:rsid w:val="00ED4805"/>
    <w:rsid w:val="00EE5F74"/>
    <w:rsid w:val="00F0259D"/>
    <w:rsid w:val="00F37006"/>
    <w:rsid w:val="00F434AD"/>
    <w:rsid w:val="00F45F8A"/>
    <w:rsid w:val="00F5016D"/>
    <w:rsid w:val="00F565D7"/>
    <w:rsid w:val="00F7516F"/>
    <w:rsid w:val="00F812FD"/>
    <w:rsid w:val="00F84449"/>
    <w:rsid w:val="00F84BF9"/>
    <w:rsid w:val="00FB634D"/>
    <w:rsid w:val="00FB7042"/>
    <w:rsid w:val="00FC66A2"/>
    <w:rsid w:val="00FC6BCA"/>
    <w:rsid w:val="00FD6789"/>
    <w:rsid w:val="00FE290A"/>
    <w:rsid w:val="00FF1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;"/>
  <w15:docId w15:val="{1D87E64C-B228-4666-87F1-915F3E0A4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 w:line="360" w:lineRule="auto"/>
      <w:ind w:firstLine="720"/>
      <w:jc w:val="both"/>
    </w:pPr>
    <w:rPr>
      <w:sz w:val="24"/>
      <w:lang w:val="bg-BG" w:eastAsia="bg-BG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pPr>
      <w:tabs>
        <w:tab w:val="right" w:pos="10773"/>
      </w:tabs>
    </w:pPr>
    <w:rPr>
      <w:i/>
      <w:sz w:val="22"/>
      <w:lang w:val="bg-BG" w:eastAsia="bg-BG"/>
    </w:rPr>
  </w:style>
  <w:style w:type="paragraph" w:styleId="Footer">
    <w:name w:val="footer"/>
    <w:basedOn w:val="Header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1">
    <w:name w:val="Основен текст1"/>
    <w:basedOn w:val="DefaultParagraphFont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lang w:val="bg-BG" w:eastAsia="bg-BG"/>
    </w:r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  <w:lang w:val="bg-BG" w:eastAsia="bg-BG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customStyle="1" w:styleId="a">
    <w:name w:val="БДС параграф"/>
    <w:pPr>
      <w:spacing w:line="480" w:lineRule="auto"/>
      <w:ind w:firstLine="720"/>
    </w:pPr>
    <w:rPr>
      <w:rFonts w:ascii="Arial" w:hAnsi="Arial"/>
      <w:sz w:val="24"/>
      <w:lang w:val="bg-BG" w:eastAsia="bg-BG"/>
    </w:rPr>
  </w:style>
  <w:style w:type="paragraph" w:customStyle="1" w:styleId="a0">
    <w:name w:val="Обикн. параграф"/>
    <w:basedOn w:val="Normal"/>
  </w:style>
  <w:style w:type="paragraph" w:customStyle="1" w:styleId="10">
    <w:name w:val="Заглавие 1 центрирано"/>
    <w:basedOn w:val="a0"/>
    <w:next w:val="a0"/>
    <w:pPr>
      <w:spacing w:before="240" w:after="60"/>
      <w:ind w:firstLine="0"/>
      <w:jc w:val="center"/>
    </w:pPr>
    <w:rPr>
      <w:b/>
      <w:sz w:val="28"/>
    </w:rPr>
  </w:style>
  <w:style w:type="paragraph" w:customStyle="1" w:styleId="11">
    <w:name w:val="Заглавие 1 ляво"/>
    <w:basedOn w:val="10"/>
    <w:next w:val="a0"/>
    <w:pPr>
      <w:jc w:val="left"/>
    </w:pPr>
  </w:style>
  <w:style w:type="paragraph" w:customStyle="1" w:styleId="2">
    <w:name w:val="Заглавие 2 центрирано"/>
    <w:basedOn w:val="10"/>
    <w:next w:val="a0"/>
    <w:rPr>
      <w:i/>
      <w:sz w:val="24"/>
    </w:rPr>
  </w:style>
  <w:style w:type="paragraph" w:customStyle="1" w:styleId="20">
    <w:name w:val="Заглавие 2 ляво"/>
    <w:basedOn w:val="2"/>
    <w:next w:val="a0"/>
    <w:pPr>
      <w:jc w:val="left"/>
    </w:pPr>
  </w:style>
  <w:style w:type="paragraph" w:customStyle="1" w:styleId="3">
    <w:name w:val="Заглавие 3 центрирано"/>
    <w:basedOn w:val="10"/>
    <w:next w:val="a0"/>
    <w:rPr>
      <w:sz w:val="24"/>
    </w:rPr>
  </w:style>
  <w:style w:type="paragraph" w:customStyle="1" w:styleId="30">
    <w:name w:val="Заглавие 3 ляво"/>
    <w:basedOn w:val="3"/>
    <w:next w:val="a0"/>
    <w:pPr>
      <w:jc w:val="left"/>
    </w:pPr>
  </w:style>
  <w:style w:type="paragraph" w:customStyle="1" w:styleId="a1">
    <w:name w:val="Заглавие на документа"/>
    <w:basedOn w:val="a0"/>
    <w:next w:val="a0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a2">
    <w:name w:val="Обикн. пар. с продължение"/>
    <w:basedOn w:val="a0"/>
    <w:next w:val="a0"/>
    <w:pPr>
      <w:keepNext/>
    </w:pPr>
  </w:style>
  <w:style w:type="paragraph" w:customStyle="1" w:styleId="a3">
    <w:name w:val="Плътен параграф"/>
    <w:basedOn w:val="a0"/>
    <w:next w:val="a0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2">
    <w:name w:val="Пар. с  12 см отстъп"/>
    <w:basedOn w:val="a3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customStyle="1" w:styleId="31">
    <w:name w:val="Пар. с  3 см отстъп"/>
    <w:basedOn w:val="a3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3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3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a4">
    <w:name w:val="Плътен пар. с прод."/>
    <w:basedOn w:val="a3"/>
    <w:pPr>
      <w:keepNext/>
    </w:pPr>
  </w:style>
  <w:style w:type="paragraph" w:customStyle="1" w:styleId="1-">
    <w:name w:val="Списък 1-о ниво"/>
    <w:basedOn w:val="a0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styleId="ListParagraph">
    <w:name w:val="List Paragraph"/>
    <w:basedOn w:val="Normal"/>
    <w:uiPriority w:val="34"/>
    <w:qFormat/>
    <w:rsid w:val="00D91240"/>
    <w:pPr>
      <w:spacing w:before="0"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A7FD9"/>
    <w:rPr>
      <w:color w:val="0563C1" w:themeColor="hyperlink"/>
      <w:u w:val="single"/>
    </w:rPr>
  </w:style>
  <w:style w:type="paragraph" w:customStyle="1" w:styleId="04-TEXTFIRST">
    <w:name w:val="04-TEXT FIRST"/>
    <w:basedOn w:val="Normal"/>
    <w:rsid w:val="00E0175F"/>
    <w:pPr>
      <w:spacing w:before="200"/>
      <w:ind w:firstLine="227"/>
    </w:pPr>
    <w:rPr>
      <w:rFonts w:ascii="Arial" w:hAnsi="Arial"/>
      <w:sz w:val="20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032EB"/>
    <w:pPr>
      <w:spacing w:before="100" w:beforeAutospacing="1" w:after="100" w:afterAutospacing="1" w:line="240" w:lineRule="auto"/>
      <w:ind w:firstLine="0"/>
      <w:jc w:val="left"/>
    </w:pPr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032EB"/>
    <w:rPr>
      <w:color w:val="954F72" w:themeColor="followedHyperlink"/>
      <w:u w:val="single"/>
    </w:rPr>
  </w:style>
  <w:style w:type="paragraph" w:customStyle="1" w:styleId="02-DATE">
    <w:name w:val="02-DATE"/>
    <w:next w:val="Normal"/>
    <w:rsid w:val="009E6015"/>
    <w:pPr>
      <w:spacing w:line="360" w:lineRule="auto"/>
      <w:jc w:val="right"/>
    </w:pPr>
    <w:rPr>
      <w:rFonts w:ascii="Arial" w:hAnsi="Arial"/>
      <w:b/>
      <w:lang w:val="bg-BG" w:eastAsia="en-US"/>
    </w:rPr>
  </w:style>
  <w:style w:type="paragraph" w:customStyle="1" w:styleId="01-PRESSRELEASE">
    <w:name w:val="01-PRESSRELEASE"/>
    <w:next w:val="02-DATE"/>
    <w:rsid w:val="00767510"/>
    <w:pPr>
      <w:spacing w:before="400" w:line="360" w:lineRule="auto"/>
      <w:jc w:val="center"/>
    </w:pPr>
    <w:rPr>
      <w:rFonts w:ascii="Arial" w:hAnsi="Arial"/>
      <w:b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35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13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22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31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836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425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90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4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81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nb.bg/BankSupervision/BSCapitalBuffers/BSCBCountercyclical/index.ht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7E4B9E-24F4-4396-B2B0-7D2862A0C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ДОКЛАДНА ЗАПИСКА ДО УПРАВИТЕЛНИЯ СЪВЕТ</vt:lpstr>
    </vt:vector>
  </TitlesOfParts>
  <Company>Българска народна банка</Company>
  <LinksUpToDate>false</LinksUpToDate>
  <CharactersWithSpaces>3570</CharactersWithSpaces>
  <SharedDoc>false</SharedDoc>
  <HLinks>
    <vt:vector size="6" baseType="variant">
      <vt:variant>
        <vt:i4>7274539</vt:i4>
      </vt:variant>
      <vt:variant>
        <vt:i4>1024</vt:i4>
      </vt:variant>
      <vt:variant>
        <vt:i4>1025</vt:i4>
      </vt:variant>
      <vt:variant>
        <vt:i4>1</vt:i4>
      </vt:variant>
      <vt:variant>
        <vt:lpwstr>!s5-7,9-10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ДОКЛАДНА ЗАПИСКА ДО УПРАВИТЕЛНИЯ СЪВЕТ</dc:title>
  <dc:creator>Стефан Кръстанов</dc:creator>
  <cp:lastModifiedBy>Биляна Борисова</cp:lastModifiedBy>
  <cp:revision>7</cp:revision>
  <cp:lastPrinted>2020-06-23T11:58:00Z</cp:lastPrinted>
  <dcterms:created xsi:type="dcterms:W3CDTF">2021-06-21T08:59:00Z</dcterms:created>
  <dcterms:modified xsi:type="dcterms:W3CDTF">2021-12-16T16:01:00Z</dcterms:modified>
</cp:coreProperties>
</file>