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C15" w:rsidRPr="004A237C" w:rsidRDefault="00567C15" w:rsidP="004A237C">
      <w:pPr>
        <w:pStyle w:val="01-PRESSRELEASE"/>
      </w:pPr>
      <w:r w:rsidRPr="004A237C">
        <w:t>PRESS RELEASE</w:t>
      </w:r>
    </w:p>
    <w:p w:rsidR="004A237C" w:rsidRPr="004A237C" w:rsidRDefault="004A237C" w:rsidP="004A237C">
      <w:pPr>
        <w:pStyle w:val="02-DATE"/>
      </w:pPr>
      <w:r>
        <w:t xml:space="preserve">26 </w:t>
      </w:r>
      <w:r>
        <w:rPr>
          <w:lang w:val="en-US"/>
        </w:rPr>
        <w:t>September</w:t>
      </w:r>
      <w:r>
        <w:t xml:space="preserve"> 2023</w:t>
      </w:r>
    </w:p>
    <w:p w:rsidR="001B3AA3" w:rsidRPr="001B3AA3" w:rsidRDefault="001B3AA3" w:rsidP="001B3AA3">
      <w:pPr>
        <w:pStyle w:val="04-TEXTFIRST"/>
        <w:rPr>
          <w:lang w:val="en-GB"/>
        </w:rPr>
      </w:pPr>
      <w:r w:rsidRPr="001B3AA3">
        <w:rPr>
          <w:lang w:val="en-GB"/>
        </w:rPr>
        <w:t xml:space="preserve">The BNB Governing Council </w:t>
      </w:r>
      <w:r w:rsidR="00396A59">
        <w:rPr>
          <w:lang w:val="en-GB"/>
        </w:rPr>
        <w:t>set</w:t>
      </w:r>
      <w:r w:rsidRPr="001B3AA3">
        <w:rPr>
          <w:lang w:val="en-GB"/>
        </w:rPr>
        <w:t xml:space="preserve"> the countercyclical capital buffer rate applicable to credit risk exposures in the Republic of Bulgaria at </w:t>
      </w:r>
      <w:r w:rsidR="00A44671">
        <w:rPr>
          <w:lang w:val="en-GB"/>
        </w:rPr>
        <w:t>2.0</w:t>
      </w:r>
      <w:r w:rsidRPr="001B3AA3">
        <w:rPr>
          <w:lang w:val="en-GB"/>
        </w:rPr>
        <w:t xml:space="preserve">% </w:t>
      </w:r>
      <w:r w:rsidR="00AC77F2">
        <w:rPr>
          <w:lang w:val="en-GB"/>
        </w:rPr>
        <w:t>for 2024 Q</w:t>
      </w:r>
      <w:r w:rsidR="00915B28">
        <w:rPr>
          <w:lang w:val="en-GB"/>
        </w:rPr>
        <w:t>4</w:t>
      </w:r>
      <w:r w:rsidRPr="001B3AA3">
        <w:rPr>
          <w:lang w:val="en-GB"/>
        </w:rPr>
        <w:t>, under an assessment of the countercyclical capital buffer rate in pursuance with Article 5, paragraphs 3 and 4 of BNB Ordinance No. 8 on Capital Buffers, the Combined Buffer Requirement, Restrictions on Distributions and the Guidance on Additional Own Funds.</w:t>
      </w:r>
    </w:p>
    <w:p w:rsidR="001B3AA3" w:rsidRPr="001B3AA3" w:rsidRDefault="001B3AA3" w:rsidP="0095390A">
      <w:pPr>
        <w:pStyle w:val="04-TEXTFIRST"/>
        <w:spacing w:before="0"/>
        <w:rPr>
          <w:lang w:val="en-GB"/>
        </w:rPr>
      </w:pPr>
      <w:r w:rsidRPr="001B3AA3">
        <w:rPr>
          <w:lang w:val="en-GB"/>
        </w:rPr>
        <w:t>Pursuant to Article 5, paragraph 3 of the BNB Ordinance No.8, setting of the countercyclical buffer rate shall take into account the reference indicator, calculated in accordance with paragraph 1, the European Systemic Risk Board (ESRB) guidelines as well as other variables that BNB considers relevant for addressing the cyclical systemic risk. With regard to data related to the reference indicator for the countercyclical buffer, the credit-to-GDP ratio calculated according to the methodology publishe</w:t>
      </w:r>
      <w:r w:rsidR="00B0334A">
        <w:rPr>
          <w:lang w:val="en-GB"/>
        </w:rPr>
        <w:t xml:space="preserve">d on the BNB website stood at </w:t>
      </w:r>
      <w:r w:rsidR="00915B28">
        <w:rPr>
          <w:lang w:val="en-US"/>
        </w:rPr>
        <w:t>81.6</w:t>
      </w:r>
      <w:r w:rsidR="00915B28">
        <w:rPr>
          <w:lang w:val="en-GB"/>
        </w:rPr>
        <w:t>% at the end of 2023 Q2</w:t>
      </w:r>
      <w:r w:rsidRPr="001B3AA3">
        <w:rPr>
          <w:lang w:val="en-GB"/>
        </w:rPr>
        <w:t>. Its deviation from the lo</w:t>
      </w:r>
      <w:r w:rsidR="006E724D">
        <w:rPr>
          <w:lang w:val="en-GB"/>
        </w:rPr>
        <w:t>ng-term trend is negative (</w:t>
      </w:r>
      <w:r w:rsidR="00915B28">
        <w:rPr>
          <w:lang w:val="en-GB"/>
        </w:rPr>
        <w:t>-30.4</w:t>
      </w:r>
      <w:r w:rsidRPr="001B3AA3">
        <w:rPr>
          <w:lang w:val="en-GB"/>
        </w:rPr>
        <w:t xml:space="preserve"> pp), which corresponds to zero value of the reference indicator.</w:t>
      </w:r>
    </w:p>
    <w:p w:rsidR="001B3AA3" w:rsidRPr="001B3AA3" w:rsidRDefault="001B3AA3" w:rsidP="0095390A">
      <w:pPr>
        <w:pStyle w:val="04-TEXTFIRST"/>
        <w:spacing w:before="0"/>
        <w:rPr>
          <w:lang w:val="en-GB"/>
        </w:rPr>
      </w:pPr>
      <w:r w:rsidRPr="001B3AA3">
        <w:rPr>
          <w:lang w:val="en-GB"/>
        </w:rPr>
        <w:t xml:space="preserve">As the standardised measure for the deviation of the credit-to-GDP ratio from its long-term trend </w:t>
      </w:r>
      <w:r w:rsidR="00AC6125">
        <w:rPr>
          <w:lang w:val="en-US"/>
        </w:rPr>
        <w:t xml:space="preserve">does not </w:t>
      </w:r>
      <w:r w:rsidR="00E15406">
        <w:rPr>
          <w:lang w:val="en-US"/>
        </w:rPr>
        <w:t xml:space="preserve">adequately </w:t>
      </w:r>
      <w:r w:rsidR="00AC6125">
        <w:rPr>
          <w:lang w:val="en-US"/>
        </w:rPr>
        <w:t>reflect</w:t>
      </w:r>
      <w:r w:rsidRPr="001B3AA3">
        <w:rPr>
          <w:lang w:val="en-GB"/>
        </w:rPr>
        <w:t xml:space="preserve"> the intensity of cyclical risks, assessments with regard to the countercyclical buffer rate take into account additional indicators which are focused on developments in the credit market, indebtedness, real estate market as well as the general economic outlook.</w:t>
      </w:r>
    </w:p>
    <w:p w:rsidR="00711739" w:rsidRPr="009310C7" w:rsidRDefault="00B23771" w:rsidP="0095390A">
      <w:pPr>
        <w:pStyle w:val="04-TEXTFIRST"/>
        <w:spacing w:before="0"/>
        <w:rPr>
          <w:lang w:val="en-GB"/>
        </w:rPr>
      </w:pPr>
      <w:r w:rsidRPr="00B23771">
        <w:rPr>
          <w:lang w:val="en-GB"/>
        </w:rPr>
        <w:t>Lending activity has remained elevated</w:t>
      </w:r>
      <w:r w:rsidR="005979D7">
        <w:rPr>
          <w:lang w:val="en-GB"/>
        </w:rPr>
        <w:t>, in particular in the segment of loans to households.</w:t>
      </w:r>
      <w:r w:rsidR="008D501E">
        <w:rPr>
          <w:lang w:val="en-GB"/>
        </w:rPr>
        <w:t xml:space="preserve"> </w:t>
      </w:r>
      <w:r w:rsidR="006E724D">
        <w:rPr>
          <w:lang w:val="en-GB"/>
        </w:rPr>
        <w:t xml:space="preserve">In the coming months, the ongoing global process of monetary policy tightening is expected to </w:t>
      </w:r>
      <w:r w:rsidR="008D501E">
        <w:rPr>
          <w:lang w:val="en-GB"/>
        </w:rPr>
        <w:t xml:space="preserve">be </w:t>
      </w:r>
      <w:r w:rsidR="00773152">
        <w:rPr>
          <w:lang w:val="en-GB"/>
        </w:rPr>
        <w:t xml:space="preserve">increasingly </w:t>
      </w:r>
      <w:r w:rsidR="0052020A">
        <w:rPr>
          <w:lang w:val="en-GB"/>
        </w:rPr>
        <w:t>pass</w:t>
      </w:r>
      <w:r w:rsidR="008D501E">
        <w:rPr>
          <w:lang w:val="en-GB"/>
        </w:rPr>
        <w:t xml:space="preserve">ed-through to </w:t>
      </w:r>
      <w:r w:rsidR="00B13C91">
        <w:rPr>
          <w:lang w:val="en-US"/>
        </w:rPr>
        <w:t xml:space="preserve">domestic </w:t>
      </w:r>
      <w:r w:rsidR="008D501E">
        <w:rPr>
          <w:lang w:val="en-GB"/>
        </w:rPr>
        <w:t>int</w:t>
      </w:r>
      <w:r w:rsidR="00B13C91">
        <w:rPr>
          <w:lang w:val="en-GB"/>
        </w:rPr>
        <w:t>erest rates</w:t>
      </w:r>
      <w:r w:rsidR="006E7FFE">
        <w:rPr>
          <w:lang w:val="en-GB"/>
        </w:rPr>
        <w:t>,</w:t>
      </w:r>
      <w:r w:rsidR="0052020A">
        <w:rPr>
          <w:lang w:val="en-GB"/>
        </w:rPr>
        <w:t xml:space="preserve"> </w:t>
      </w:r>
      <w:r w:rsidR="008D501E">
        <w:rPr>
          <w:lang w:val="en-GB"/>
        </w:rPr>
        <w:t xml:space="preserve">thus </w:t>
      </w:r>
      <w:r w:rsidR="006A6ED9">
        <w:rPr>
          <w:lang w:val="en-GB"/>
        </w:rPr>
        <w:t>dampening lending activity</w:t>
      </w:r>
      <w:r w:rsidR="008D501E">
        <w:rPr>
          <w:lang w:val="en-GB"/>
        </w:rPr>
        <w:t xml:space="preserve"> along with </w:t>
      </w:r>
      <w:r w:rsidR="0052020A">
        <w:rPr>
          <w:lang w:val="en-GB"/>
        </w:rPr>
        <w:t xml:space="preserve">the </w:t>
      </w:r>
      <w:r w:rsidR="00C9774F">
        <w:rPr>
          <w:lang w:val="en-GB"/>
        </w:rPr>
        <w:t>initiated</w:t>
      </w:r>
      <w:r w:rsidR="0052020A">
        <w:rPr>
          <w:lang w:val="en-GB"/>
        </w:rPr>
        <w:t xml:space="preserve"> by the BNB </w:t>
      </w:r>
      <w:r w:rsidR="008A7177">
        <w:rPr>
          <w:lang w:val="en-GB"/>
        </w:rPr>
        <w:t xml:space="preserve">process of </w:t>
      </w:r>
      <w:r w:rsidR="00DD7A3F">
        <w:rPr>
          <w:lang w:val="en-GB"/>
        </w:rPr>
        <w:t>rai</w:t>
      </w:r>
      <w:r w:rsidR="00E529BE">
        <w:rPr>
          <w:lang w:val="en-GB"/>
        </w:rPr>
        <w:t>sing</w:t>
      </w:r>
      <w:r w:rsidR="005979D7">
        <w:rPr>
          <w:lang w:val="en-GB"/>
        </w:rPr>
        <w:t xml:space="preserve"> </w:t>
      </w:r>
      <w:r w:rsidR="009310C7">
        <w:rPr>
          <w:lang w:val="en-GB"/>
        </w:rPr>
        <w:t>minimum reserve requirements</w:t>
      </w:r>
      <w:r w:rsidR="0052020A">
        <w:rPr>
          <w:lang w:val="en-GB"/>
        </w:rPr>
        <w:t xml:space="preserve"> </w:t>
      </w:r>
      <w:r w:rsidR="009310C7">
        <w:rPr>
          <w:lang w:val="en-GB"/>
        </w:rPr>
        <w:t>ratios</w:t>
      </w:r>
      <w:r w:rsidR="001A2AA5">
        <w:rPr>
          <w:lang w:val="en-GB"/>
        </w:rPr>
        <w:t xml:space="preserve"> since</w:t>
      </w:r>
      <w:r w:rsidR="008D501E">
        <w:rPr>
          <w:lang w:val="en-GB"/>
        </w:rPr>
        <w:t xml:space="preserve"> mid-2023. </w:t>
      </w:r>
      <w:r w:rsidR="0052020A">
        <w:rPr>
          <w:lang w:val="en-GB"/>
        </w:rPr>
        <w:t xml:space="preserve">While this </w:t>
      </w:r>
      <w:r w:rsidR="00C839D6">
        <w:rPr>
          <w:lang w:val="en-GB"/>
        </w:rPr>
        <w:t>c</w:t>
      </w:r>
      <w:r w:rsidR="0052020A">
        <w:rPr>
          <w:lang w:val="en-GB"/>
        </w:rPr>
        <w:t xml:space="preserve">ould mitigate the effects which </w:t>
      </w:r>
      <w:r w:rsidR="00BA2AA4">
        <w:rPr>
          <w:lang w:val="en-GB"/>
        </w:rPr>
        <w:t>prolonged</w:t>
      </w:r>
      <w:r w:rsidR="0052020A">
        <w:rPr>
          <w:lang w:val="en-GB"/>
        </w:rPr>
        <w:t xml:space="preserve"> periods of </w:t>
      </w:r>
      <w:r w:rsidR="000F2E0D">
        <w:rPr>
          <w:lang w:val="en-GB"/>
        </w:rPr>
        <w:t>rapid</w:t>
      </w:r>
      <w:r w:rsidR="0052020A">
        <w:rPr>
          <w:lang w:val="en-GB"/>
        </w:rPr>
        <w:t xml:space="preserve"> credit growth pose </w:t>
      </w:r>
      <w:r w:rsidR="004E5FA4">
        <w:rPr>
          <w:lang w:val="en-GB"/>
        </w:rPr>
        <w:t>in terms of</w:t>
      </w:r>
      <w:r w:rsidR="0052020A">
        <w:rPr>
          <w:lang w:val="en-GB"/>
        </w:rPr>
        <w:t xml:space="preserve"> indebtedness and accumulation of credit risk in </w:t>
      </w:r>
      <w:r w:rsidR="009310C7">
        <w:rPr>
          <w:lang w:val="en-GB"/>
        </w:rPr>
        <w:t>banks’ balance sheets</w:t>
      </w:r>
      <w:r w:rsidR="0052020A">
        <w:rPr>
          <w:lang w:val="en-GB"/>
        </w:rPr>
        <w:t>, in a</w:t>
      </w:r>
      <w:r w:rsidR="004E5FA4">
        <w:rPr>
          <w:lang w:val="en-GB"/>
        </w:rPr>
        <w:t xml:space="preserve"> short run</w:t>
      </w:r>
      <w:r w:rsidR="009310C7">
        <w:rPr>
          <w:lang w:val="en-GB"/>
        </w:rPr>
        <w:t xml:space="preserve"> the credit risk remains elevated</w:t>
      </w:r>
      <w:r w:rsidR="0052020A">
        <w:rPr>
          <w:lang w:val="en-GB"/>
        </w:rPr>
        <w:t>.</w:t>
      </w:r>
      <w:r w:rsidR="009310C7">
        <w:rPr>
          <w:lang w:val="en-GB"/>
        </w:rPr>
        <w:t xml:space="preserve"> </w:t>
      </w:r>
      <w:r w:rsidRPr="00B23771">
        <w:rPr>
          <w:lang w:val="en-GB"/>
        </w:rPr>
        <w:t>In view</w:t>
      </w:r>
      <w:r w:rsidR="00CD0FE9">
        <w:rPr>
          <w:lang w:val="en-GB"/>
        </w:rPr>
        <w:t xml:space="preserve"> of the volatile energy </w:t>
      </w:r>
      <w:r w:rsidRPr="00B23771">
        <w:rPr>
          <w:lang w:val="en-GB"/>
        </w:rPr>
        <w:t>prices</w:t>
      </w:r>
      <w:r w:rsidR="009310C7">
        <w:rPr>
          <w:lang w:val="en-GB"/>
        </w:rPr>
        <w:t>,</w:t>
      </w:r>
      <w:r w:rsidRPr="00B23771">
        <w:rPr>
          <w:lang w:val="en-GB"/>
        </w:rPr>
        <w:t xml:space="preserve"> the risks of supply-chain disruptions and </w:t>
      </w:r>
      <w:r w:rsidR="006E724D">
        <w:rPr>
          <w:lang w:val="en-GB"/>
        </w:rPr>
        <w:t xml:space="preserve">the </w:t>
      </w:r>
      <w:r w:rsidRPr="00B23771">
        <w:rPr>
          <w:lang w:val="en-GB"/>
        </w:rPr>
        <w:t xml:space="preserve">expected slowdown in </w:t>
      </w:r>
      <w:r w:rsidR="00DA7D13">
        <w:rPr>
          <w:lang w:val="en-GB"/>
        </w:rPr>
        <w:t>foreign</w:t>
      </w:r>
      <w:r w:rsidRPr="00B23771">
        <w:rPr>
          <w:lang w:val="en-GB"/>
        </w:rPr>
        <w:t xml:space="preserve"> demand, debt servicing capacity </w:t>
      </w:r>
      <w:r w:rsidR="00074AE6">
        <w:rPr>
          <w:lang w:val="en-GB"/>
        </w:rPr>
        <w:t>could</w:t>
      </w:r>
      <w:r w:rsidRPr="00B23771">
        <w:rPr>
          <w:lang w:val="en-GB"/>
        </w:rPr>
        <w:t xml:space="preserve"> weaken, leading to an increase of non-performing loans and impairments. Moreover, the </w:t>
      </w:r>
      <w:r w:rsidR="006E724D">
        <w:rPr>
          <w:lang w:val="en-GB"/>
        </w:rPr>
        <w:t xml:space="preserve">trend </w:t>
      </w:r>
      <w:r w:rsidRPr="00B23771">
        <w:rPr>
          <w:lang w:val="en-GB"/>
        </w:rPr>
        <w:t>of rising interest rates</w:t>
      </w:r>
      <w:r w:rsidR="006E724D">
        <w:rPr>
          <w:lang w:val="en-GB"/>
        </w:rPr>
        <w:t xml:space="preserve"> </w:t>
      </w:r>
      <w:r w:rsidR="00F37371">
        <w:rPr>
          <w:lang w:val="en-GB"/>
        </w:rPr>
        <w:t>may</w:t>
      </w:r>
      <w:r w:rsidR="006E724D">
        <w:rPr>
          <w:lang w:val="en-GB"/>
        </w:rPr>
        <w:t xml:space="preserve"> affect the financial position of borrowers</w:t>
      </w:r>
      <w:r w:rsidRPr="00B23771">
        <w:rPr>
          <w:lang w:val="en-GB"/>
        </w:rPr>
        <w:t xml:space="preserve">. Therefore, credit institutions should adhere to conservative policies with regard to lending, apply timely and adequate provisioning, and </w:t>
      </w:r>
      <w:r w:rsidR="005979D7">
        <w:rPr>
          <w:lang w:val="en-GB"/>
        </w:rPr>
        <w:t xml:space="preserve">plan their </w:t>
      </w:r>
      <w:r w:rsidRPr="00B23771">
        <w:rPr>
          <w:lang w:val="en-GB"/>
        </w:rPr>
        <w:t xml:space="preserve">capital </w:t>
      </w:r>
      <w:r w:rsidR="005979D7">
        <w:rPr>
          <w:lang w:val="en-GB"/>
        </w:rPr>
        <w:t>trajectories</w:t>
      </w:r>
      <w:r w:rsidRPr="00B23771">
        <w:rPr>
          <w:lang w:val="en-GB"/>
        </w:rPr>
        <w:t xml:space="preserve"> </w:t>
      </w:r>
      <w:r w:rsidR="005979D7">
        <w:rPr>
          <w:lang w:val="en-GB"/>
        </w:rPr>
        <w:t xml:space="preserve">taking into account the likelihood of an aggravation of risks or a potential emergence of additional </w:t>
      </w:r>
      <w:r w:rsidR="00CA720C">
        <w:rPr>
          <w:lang w:val="en-GB"/>
        </w:rPr>
        <w:t>unfavourable</w:t>
      </w:r>
      <w:r w:rsidRPr="00B23771">
        <w:rPr>
          <w:lang w:val="en-GB"/>
        </w:rPr>
        <w:t xml:space="preserve"> developments in the economic </w:t>
      </w:r>
      <w:r w:rsidR="005979D7">
        <w:rPr>
          <w:lang w:val="en-GB"/>
        </w:rPr>
        <w:t>outlook</w:t>
      </w:r>
      <w:r w:rsidRPr="00B23771">
        <w:rPr>
          <w:lang w:val="en-GB"/>
        </w:rPr>
        <w:t>.</w:t>
      </w:r>
    </w:p>
    <w:p w:rsidR="003C3459" w:rsidRDefault="003C3459" w:rsidP="0095390A">
      <w:pPr>
        <w:pStyle w:val="04-TEXTFIRST"/>
        <w:spacing w:before="0"/>
        <w:rPr>
          <w:lang w:val="en-US"/>
        </w:rPr>
      </w:pPr>
      <w:r>
        <w:rPr>
          <w:lang w:val="en-US"/>
        </w:rPr>
        <w:t xml:space="preserve">In 2021, the BNB Governing Council </w:t>
      </w:r>
      <w:r w:rsidR="00E84A03">
        <w:rPr>
          <w:lang w:val="en-US"/>
        </w:rPr>
        <w:t>raised</w:t>
      </w:r>
      <w:r>
        <w:rPr>
          <w:lang w:val="en-US"/>
        </w:rPr>
        <w:t xml:space="preserve"> </w:t>
      </w:r>
      <w:r w:rsidRPr="003C3459">
        <w:rPr>
          <w:lang w:val="en-US"/>
        </w:rPr>
        <w:t xml:space="preserve">the countercyclical capital buffer rate applicable to </w:t>
      </w:r>
      <w:r w:rsidR="009455E5">
        <w:rPr>
          <w:lang w:val="en-US"/>
        </w:rPr>
        <w:t>domestic</w:t>
      </w:r>
      <w:r>
        <w:rPr>
          <w:lang w:val="en-US"/>
        </w:rPr>
        <w:t xml:space="preserve"> </w:t>
      </w:r>
      <w:r w:rsidRPr="003C3459">
        <w:rPr>
          <w:lang w:val="en-US"/>
        </w:rPr>
        <w:t>credit risk expos</w:t>
      </w:r>
      <w:r>
        <w:rPr>
          <w:lang w:val="en-US"/>
        </w:rPr>
        <w:t xml:space="preserve">ures to 1.0% in effect from 1 October 2022 and </w:t>
      </w:r>
      <w:r w:rsidR="001B5622">
        <w:rPr>
          <w:lang w:val="en-US"/>
        </w:rPr>
        <w:t xml:space="preserve">to </w:t>
      </w:r>
      <w:r w:rsidR="001454B4">
        <w:rPr>
          <w:lang w:val="en-US"/>
        </w:rPr>
        <w:t>1.5% from 1 January 2023, with the</w:t>
      </w:r>
      <w:r w:rsidR="00E04EE8">
        <w:rPr>
          <w:lang w:val="en-US"/>
        </w:rPr>
        <w:t xml:space="preserve"> BNB among the first national authorities in the EU to</w:t>
      </w:r>
      <w:r w:rsidR="001454B4">
        <w:rPr>
          <w:lang w:val="en-US"/>
        </w:rPr>
        <w:t xml:space="preserve"> </w:t>
      </w:r>
      <w:r w:rsidR="00E04EE8">
        <w:rPr>
          <w:lang w:val="en-US"/>
        </w:rPr>
        <w:t>increase the buffer rate after the releases</w:t>
      </w:r>
      <w:r w:rsidR="004F624F">
        <w:rPr>
          <w:lang w:val="en-US"/>
        </w:rPr>
        <w:t>,</w:t>
      </w:r>
      <w:r w:rsidR="00E04EE8">
        <w:rPr>
          <w:lang w:val="en-US"/>
        </w:rPr>
        <w:t xml:space="preserve"> implemented in many co</w:t>
      </w:r>
      <w:bookmarkStart w:id="0" w:name="_GoBack"/>
      <w:bookmarkEnd w:id="0"/>
      <w:r w:rsidR="00E04EE8">
        <w:rPr>
          <w:lang w:val="en-US"/>
        </w:rPr>
        <w:t xml:space="preserve">untries in response to the effects of the COVID-19 crisis. The </w:t>
      </w:r>
      <w:r w:rsidR="001454B4">
        <w:rPr>
          <w:lang w:val="en-US"/>
        </w:rPr>
        <w:t xml:space="preserve">countercyclical buffer rate </w:t>
      </w:r>
      <w:r w:rsidR="00E04EE8">
        <w:rPr>
          <w:lang w:val="en-US"/>
        </w:rPr>
        <w:t xml:space="preserve">was </w:t>
      </w:r>
      <w:r w:rsidR="001454B4">
        <w:rPr>
          <w:lang w:val="en-US"/>
        </w:rPr>
        <w:t xml:space="preserve">further </w:t>
      </w:r>
      <w:r w:rsidR="00E84A03">
        <w:rPr>
          <w:lang w:val="en-US"/>
        </w:rPr>
        <w:t xml:space="preserve">increased </w:t>
      </w:r>
      <w:r w:rsidR="006D0A4D">
        <w:rPr>
          <w:lang w:val="en-US"/>
        </w:rPr>
        <w:t xml:space="preserve">in September 2022 </w:t>
      </w:r>
      <w:r w:rsidR="00E84A03">
        <w:rPr>
          <w:lang w:val="en-US"/>
        </w:rPr>
        <w:t>to 2.0% in effect from 1 October 2023.</w:t>
      </w:r>
      <w:r>
        <w:rPr>
          <w:lang w:val="en-US"/>
        </w:rPr>
        <w:t xml:space="preserve"> </w:t>
      </w:r>
      <w:r w:rsidR="00B972B5">
        <w:rPr>
          <w:lang w:val="en-US"/>
        </w:rPr>
        <w:t>In view of t</w:t>
      </w:r>
      <w:r>
        <w:rPr>
          <w:lang w:val="en-US"/>
        </w:rPr>
        <w:t>he persistently high credit growth rates and the uncertainty in the economic outlook</w:t>
      </w:r>
      <w:r w:rsidR="00B972B5">
        <w:rPr>
          <w:lang w:val="en-US"/>
        </w:rPr>
        <w:t>,</w:t>
      </w:r>
      <w:r>
        <w:rPr>
          <w:lang w:val="en-US"/>
        </w:rPr>
        <w:t xml:space="preserve"> the countercyclical capital buffer rate </w:t>
      </w:r>
      <w:r w:rsidR="00B972B5">
        <w:rPr>
          <w:lang w:val="en-US"/>
        </w:rPr>
        <w:t>at</w:t>
      </w:r>
      <w:r>
        <w:rPr>
          <w:lang w:val="en-US"/>
        </w:rPr>
        <w:t xml:space="preserve"> 2.0% </w:t>
      </w:r>
      <w:r w:rsidR="005979D7">
        <w:rPr>
          <w:lang w:val="en-US"/>
        </w:rPr>
        <w:t>for 2024 Q4</w:t>
      </w:r>
      <w:r>
        <w:rPr>
          <w:lang w:val="en-US"/>
        </w:rPr>
        <w:t xml:space="preserve"> </w:t>
      </w:r>
      <w:r w:rsidR="001B5622">
        <w:rPr>
          <w:lang w:val="en-US"/>
        </w:rPr>
        <w:t xml:space="preserve">is </w:t>
      </w:r>
      <w:r w:rsidR="00790008">
        <w:rPr>
          <w:lang w:val="en-US"/>
        </w:rPr>
        <w:t xml:space="preserve">aimed at </w:t>
      </w:r>
      <w:r w:rsidR="00790008" w:rsidRPr="00790008">
        <w:rPr>
          <w:lang w:val="en-US"/>
        </w:rPr>
        <w:t>strengthening the resilience of the banking system to pressure on profitability and capital position caused by potential rise in non-performing loans and impairments.</w:t>
      </w:r>
    </w:p>
    <w:p w:rsidR="00B941AD" w:rsidRPr="001C74A4" w:rsidRDefault="00717552" w:rsidP="00765EDD">
      <w:pPr>
        <w:pStyle w:val="04-TEXTFIRST"/>
        <w:rPr>
          <w:lang w:val="en-GB"/>
        </w:rPr>
      </w:pPr>
      <w:r w:rsidRPr="001C74A4">
        <w:rPr>
          <w:lang w:val="en-GB"/>
        </w:rPr>
        <w:lastRenderedPageBreak/>
        <w:t xml:space="preserve">Further information about the methodology used and previous decisions is available on the BNB website under the section </w:t>
      </w:r>
      <w:hyperlink r:id="rId8" w:tgtFrame="_top" w:history="1">
        <w:r w:rsidR="007032EB" w:rsidRPr="00D60DCD">
          <w:rPr>
            <w:color w:val="FF0000"/>
            <w:lang w:val="en-GB"/>
          </w:rPr>
          <w:t>Capital Buffers</w:t>
        </w:r>
      </w:hyperlink>
      <w:bookmarkStart w:id="1" w:name="P6_457"/>
      <w:bookmarkEnd w:id="1"/>
      <w:r w:rsidR="007032EB" w:rsidRPr="001C74A4">
        <w:rPr>
          <w:lang w:val="en-GB"/>
        </w:rPr>
        <w:t>.</w:t>
      </w:r>
    </w:p>
    <w:sectPr w:rsidR="00B941AD" w:rsidRPr="001C74A4" w:rsidSect="00687A29">
      <w:headerReference w:type="default" r:id="rId9"/>
      <w:footerReference w:type="default" r:id="rId10"/>
      <w:headerReference w:type="first" r:id="rId11"/>
      <w:pgSz w:w="11906" w:h="16838" w:code="9"/>
      <w:pgMar w:top="1438" w:right="851" w:bottom="1440" w:left="1418" w:header="357" w:footer="563"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2694" w:rsidRDefault="00CD2694">
      <w:r>
        <w:separator/>
      </w:r>
    </w:p>
  </w:endnote>
  <w:endnote w:type="continuationSeparator" w:id="0">
    <w:p w:rsidR="00CD2694" w:rsidRDefault="00CD2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A29" w:rsidRDefault="00687A29" w:rsidP="00687A29">
    <w:pPr>
      <w:pStyle w:val="Footer"/>
      <w:jc w:val="right"/>
    </w:pPr>
    <w:r>
      <w:t xml:space="preserve">с. </w:t>
    </w:r>
    <w:r>
      <w:fldChar w:fldCharType="begin"/>
    </w:r>
    <w:r>
      <w:instrText xml:space="preserve"> PAGE   \* MERGEFORMAT </w:instrText>
    </w:r>
    <w:r>
      <w:fldChar w:fldCharType="separate"/>
    </w:r>
    <w:r w:rsidR="0095390A">
      <w:rPr>
        <w:noProof/>
      </w:rPr>
      <w:t>2</w:t>
    </w:r>
    <w:r>
      <w:fldChar w:fldCharType="end"/>
    </w:r>
    <w:r>
      <w:t>/</w:t>
    </w:r>
    <w:r w:rsidR="009A3747">
      <w:rPr>
        <w:noProof/>
      </w:rPr>
      <w:fldChar w:fldCharType="begin"/>
    </w:r>
    <w:r w:rsidR="009A3747">
      <w:rPr>
        <w:noProof/>
      </w:rPr>
      <w:instrText xml:space="preserve"> NUMPAGES   \* MERGEFORMAT </w:instrText>
    </w:r>
    <w:r w:rsidR="009A3747">
      <w:rPr>
        <w:noProof/>
      </w:rPr>
      <w:fldChar w:fldCharType="separate"/>
    </w:r>
    <w:r w:rsidR="0095390A">
      <w:rPr>
        <w:noProof/>
      </w:rPr>
      <w:t>2</w:t>
    </w:r>
    <w:r w:rsidR="009A3747">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2694" w:rsidRDefault="00CD2694">
      <w:r>
        <w:separator/>
      </w:r>
    </w:p>
  </w:footnote>
  <w:footnote w:type="continuationSeparator" w:id="0">
    <w:p w:rsidR="00CD2694" w:rsidRDefault="00CD26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333" w:rsidRDefault="002F2333">
    <w:pPr>
      <w:pStyle w:val="Header"/>
      <w:tabs>
        <w:tab w:val="center" w:pos="-180"/>
      </w:tabs>
      <w:jc w:val="cent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C15" w:rsidRDefault="00567C15">
    <w:pPr>
      <w:pStyle w:val="Header"/>
    </w:pPr>
    <w:r w:rsidRPr="00636BB8">
      <w:rPr>
        <w:rFonts w:ascii="Calibri" w:hAnsi="Calibri"/>
        <w:noProof/>
        <w:szCs w:val="22"/>
      </w:rPr>
      <w:drawing>
        <wp:inline distT="0" distB="0" distL="0" distR="0">
          <wp:extent cx="6057900" cy="1061384"/>
          <wp:effectExtent l="0" t="0" r="0" b="5715"/>
          <wp:docPr id="1" name="Picture 1" descr="BNB_logo_PR_2018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NB_logo_PR_2018_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3656" cy="1067649"/>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EB1A0A"/>
    <w:multiLevelType w:val="multilevel"/>
    <w:tmpl w:val="0402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14E728A"/>
    <w:multiLevelType w:val="hybridMultilevel"/>
    <w:tmpl w:val="EC18FAFE"/>
    <w:lvl w:ilvl="0" w:tplc="0402000F">
      <w:start w:val="1"/>
      <w:numFmt w:val="decimal"/>
      <w:lvlText w:val="%1."/>
      <w:lvlJc w:val="left"/>
      <w:pPr>
        <w:ind w:left="1287" w:hanging="360"/>
      </w:pPr>
    </w:lvl>
    <w:lvl w:ilvl="1" w:tplc="04020019" w:tentative="1">
      <w:start w:val="1"/>
      <w:numFmt w:val="lowerLetter"/>
      <w:lvlText w:val="%2."/>
      <w:lvlJc w:val="left"/>
      <w:pPr>
        <w:ind w:left="2007" w:hanging="360"/>
      </w:pPr>
    </w:lvl>
    <w:lvl w:ilvl="2" w:tplc="0402001B" w:tentative="1">
      <w:start w:val="1"/>
      <w:numFmt w:val="lowerRoman"/>
      <w:lvlText w:val="%3."/>
      <w:lvlJc w:val="right"/>
      <w:pPr>
        <w:ind w:left="2727" w:hanging="180"/>
      </w:pPr>
    </w:lvl>
    <w:lvl w:ilvl="3" w:tplc="0402000F" w:tentative="1">
      <w:start w:val="1"/>
      <w:numFmt w:val="decimal"/>
      <w:lvlText w:val="%4."/>
      <w:lvlJc w:val="left"/>
      <w:pPr>
        <w:ind w:left="3447" w:hanging="360"/>
      </w:pPr>
    </w:lvl>
    <w:lvl w:ilvl="4" w:tplc="04020019" w:tentative="1">
      <w:start w:val="1"/>
      <w:numFmt w:val="lowerLetter"/>
      <w:lvlText w:val="%5."/>
      <w:lvlJc w:val="left"/>
      <w:pPr>
        <w:ind w:left="4167" w:hanging="360"/>
      </w:pPr>
    </w:lvl>
    <w:lvl w:ilvl="5" w:tplc="0402001B" w:tentative="1">
      <w:start w:val="1"/>
      <w:numFmt w:val="lowerRoman"/>
      <w:lvlText w:val="%6."/>
      <w:lvlJc w:val="right"/>
      <w:pPr>
        <w:ind w:left="4887" w:hanging="180"/>
      </w:pPr>
    </w:lvl>
    <w:lvl w:ilvl="6" w:tplc="0402000F" w:tentative="1">
      <w:start w:val="1"/>
      <w:numFmt w:val="decimal"/>
      <w:lvlText w:val="%7."/>
      <w:lvlJc w:val="left"/>
      <w:pPr>
        <w:ind w:left="5607" w:hanging="360"/>
      </w:pPr>
    </w:lvl>
    <w:lvl w:ilvl="7" w:tplc="04020019" w:tentative="1">
      <w:start w:val="1"/>
      <w:numFmt w:val="lowerLetter"/>
      <w:lvlText w:val="%8."/>
      <w:lvlJc w:val="left"/>
      <w:pPr>
        <w:ind w:left="6327" w:hanging="360"/>
      </w:pPr>
    </w:lvl>
    <w:lvl w:ilvl="8" w:tplc="0402001B" w:tentative="1">
      <w:start w:val="1"/>
      <w:numFmt w:val="lowerRoman"/>
      <w:lvlText w:val="%9."/>
      <w:lvlJc w:val="right"/>
      <w:pPr>
        <w:ind w:left="7047" w:hanging="180"/>
      </w:pPr>
    </w:lvl>
  </w:abstractNum>
  <w:abstractNum w:abstractNumId="2" w15:restartNumberingAfterBreak="0">
    <w:nsid w:val="590321AD"/>
    <w:multiLevelType w:val="hybridMultilevel"/>
    <w:tmpl w:val="0BE4A8A6"/>
    <w:lvl w:ilvl="0" w:tplc="6096CAF0">
      <w:start w:val="1"/>
      <w:numFmt w:val="decimal"/>
      <w:lvlText w:val="%1."/>
      <w:lvlJc w:val="left"/>
      <w:pPr>
        <w:ind w:left="1211" w:hanging="360"/>
      </w:pPr>
      <w:rPr>
        <w:rFonts w:hint="default"/>
      </w:rPr>
    </w:lvl>
    <w:lvl w:ilvl="1" w:tplc="0402000F">
      <w:start w:val="1"/>
      <w:numFmt w:val="decimal"/>
      <w:lvlText w:val="%2."/>
      <w:lvlJc w:val="left"/>
      <w:pPr>
        <w:ind w:left="1931" w:hanging="360"/>
      </w:pPr>
    </w:lvl>
    <w:lvl w:ilvl="2" w:tplc="0402001B" w:tentative="1">
      <w:start w:val="1"/>
      <w:numFmt w:val="lowerRoman"/>
      <w:lvlText w:val="%3."/>
      <w:lvlJc w:val="right"/>
      <w:pPr>
        <w:ind w:left="2651" w:hanging="180"/>
      </w:pPr>
    </w:lvl>
    <w:lvl w:ilvl="3" w:tplc="0402000F" w:tentative="1">
      <w:start w:val="1"/>
      <w:numFmt w:val="decimal"/>
      <w:lvlText w:val="%4."/>
      <w:lvlJc w:val="left"/>
      <w:pPr>
        <w:ind w:left="3371" w:hanging="360"/>
      </w:pPr>
    </w:lvl>
    <w:lvl w:ilvl="4" w:tplc="04020019" w:tentative="1">
      <w:start w:val="1"/>
      <w:numFmt w:val="lowerLetter"/>
      <w:lvlText w:val="%5."/>
      <w:lvlJc w:val="left"/>
      <w:pPr>
        <w:ind w:left="4091" w:hanging="360"/>
      </w:pPr>
    </w:lvl>
    <w:lvl w:ilvl="5" w:tplc="0402001B" w:tentative="1">
      <w:start w:val="1"/>
      <w:numFmt w:val="lowerRoman"/>
      <w:lvlText w:val="%6."/>
      <w:lvlJc w:val="right"/>
      <w:pPr>
        <w:ind w:left="4811" w:hanging="180"/>
      </w:pPr>
    </w:lvl>
    <w:lvl w:ilvl="6" w:tplc="0402000F" w:tentative="1">
      <w:start w:val="1"/>
      <w:numFmt w:val="decimal"/>
      <w:lvlText w:val="%7."/>
      <w:lvlJc w:val="left"/>
      <w:pPr>
        <w:ind w:left="5531" w:hanging="360"/>
      </w:pPr>
    </w:lvl>
    <w:lvl w:ilvl="7" w:tplc="04020019" w:tentative="1">
      <w:start w:val="1"/>
      <w:numFmt w:val="lowerLetter"/>
      <w:lvlText w:val="%8."/>
      <w:lvlJc w:val="left"/>
      <w:pPr>
        <w:ind w:left="6251" w:hanging="360"/>
      </w:pPr>
    </w:lvl>
    <w:lvl w:ilvl="8" w:tplc="0402001B" w:tentative="1">
      <w:start w:val="1"/>
      <w:numFmt w:val="lowerRoman"/>
      <w:lvlText w:val="%9."/>
      <w:lvlJc w:val="right"/>
      <w:pPr>
        <w:ind w:left="6971"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F94"/>
    <w:rsid w:val="00001C2C"/>
    <w:rsid w:val="000058F4"/>
    <w:rsid w:val="00010605"/>
    <w:rsid w:val="00013F1E"/>
    <w:rsid w:val="000146F5"/>
    <w:rsid w:val="000163A8"/>
    <w:rsid w:val="000175F6"/>
    <w:rsid w:val="00020921"/>
    <w:rsid w:val="000226E6"/>
    <w:rsid w:val="0002623E"/>
    <w:rsid w:val="000339A5"/>
    <w:rsid w:val="0003452D"/>
    <w:rsid w:val="0004284D"/>
    <w:rsid w:val="00042968"/>
    <w:rsid w:val="00045C09"/>
    <w:rsid w:val="000560BB"/>
    <w:rsid w:val="0006625E"/>
    <w:rsid w:val="00074490"/>
    <w:rsid w:val="00074AE6"/>
    <w:rsid w:val="00080ECF"/>
    <w:rsid w:val="00084066"/>
    <w:rsid w:val="000852F1"/>
    <w:rsid w:val="0008549B"/>
    <w:rsid w:val="00091CC9"/>
    <w:rsid w:val="00092F29"/>
    <w:rsid w:val="00094C6E"/>
    <w:rsid w:val="00095EBC"/>
    <w:rsid w:val="0009698F"/>
    <w:rsid w:val="00097AD2"/>
    <w:rsid w:val="000A094A"/>
    <w:rsid w:val="000A16A9"/>
    <w:rsid w:val="000A3F55"/>
    <w:rsid w:val="000A5415"/>
    <w:rsid w:val="000B0246"/>
    <w:rsid w:val="000B02AA"/>
    <w:rsid w:val="000B39A8"/>
    <w:rsid w:val="000B3B9A"/>
    <w:rsid w:val="000B56F5"/>
    <w:rsid w:val="000C1BCF"/>
    <w:rsid w:val="000C2A87"/>
    <w:rsid w:val="000D1E2D"/>
    <w:rsid w:val="000D2F46"/>
    <w:rsid w:val="000D4FF0"/>
    <w:rsid w:val="000D5722"/>
    <w:rsid w:val="000E4426"/>
    <w:rsid w:val="000E7590"/>
    <w:rsid w:val="000F04B4"/>
    <w:rsid w:val="000F2E0D"/>
    <w:rsid w:val="001000F9"/>
    <w:rsid w:val="0010112E"/>
    <w:rsid w:val="0010196D"/>
    <w:rsid w:val="00101F86"/>
    <w:rsid w:val="0010250E"/>
    <w:rsid w:val="0010486F"/>
    <w:rsid w:val="00105587"/>
    <w:rsid w:val="001067EB"/>
    <w:rsid w:val="00113EF4"/>
    <w:rsid w:val="00115386"/>
    <w:rsid w:val="00117B34"/>
    <w:rsid w:val="00122977"/>
    <w:rsid w:val="0013087E"/>
    <w:rsid w:val="0013107F"/>
    <w:rsid w:val="00140A54"/>
    <w:rsid w:val="00140D1B"/>
    <w:rsid w:val="0014161F"/>
    <w:rsid w:val="001454B4"/>
    <w:rsid w:val="001470AB"/>
    <w:rsid w:val="0014790D"/>
    <w:rsid w:val="0015343F"/>
    <w:rsid w:val="00154542"/>
    <w:rsid w:val="00156D4C"/>
    <w:rsid w:val="0015716C"/>
    <w:rsid w:val="00157420"/>
    <w:rsid w:val="001677D4"/>
    <w:rsid w:val="00170B11"/>
    <w:rsid w:val="001732C3"/>
    <w:rsid w:val="00175278"/>
    <w:rsid w:val="0017593A"/>
    <w:rsid w:val="0018431A"/>
    <w:rsid w:val="00187C44"/>
    <w:rsid w:val="00190AD1"/>
    <w:rsid w:val="001A2AA5"/>
    <w:rsid w:val="001B0803"/>
    <w:rsid w:val="001B3AA3"/>
    <w:rsid w:val="001B5622"/>
    <w:rsid w:val="001B74F6"/>
    <w:rsid w:val="001C0844"/>
    <w:rsid w:val="001C58C8"/>
    <w:rsid w:val="001C74A4"/>
    <w:rsid w:val="001D1749"/>
    <w:rsid w:val="001D2EFC"/>
    <w:rsid w:val="001E1BF3"/>
    <w:rsid w:val="001E340D"/>
    <w:rsid w:val="001E69A2"/>
    <w:rsid w:val="001E718D"/>
    <w:rsid w:val="001F7307"/>
    <w:rsid w:val="001F73E5"/>
    <w:rsid w:val="001F7C36"/>
    <w:rsid w:val="00200F75"/>
    <w:rsid w:val="00210180"/>
    <w:rsid w:val="0021770F"/>
    <w:rsid w:val="002228F8"/>
    <w:rsid w:val="00223FA1"/>
    <w:rsid w:val="00233666"/>
    <w:rsid w:val="00235BF8"/>
    <w:rsid w:val="00242C05"/>
    <w:rsid w:val="00244623"/>
    <w:rsid w:val="00245783"/>
    <w:rsid w:val="00254439"/>
    <w:rsid w:val="00254C39"/>
    <w:rsid w:val="00262E64"/>
    <w:rsid w:val="0026707C"/>
    <w:rsid w:val="00274C5A"/>
    <w:rsid w:val="00281655"/>
    <w:rsid w:val="002902F5"/>
    <w:rsid w:val="00295240"/>
    <w:rsid w:val="00295357"/>
    <w:rsid w:val="002A214D"/>
    <w:rsid w:val="002A2A49"/>
    <w:rsid w:val="002A42B8"/>
    <w:rsid w:val="002A44C2"/>
    <w:rsid w:val="002A46E6"/>
    <w:rsid w:val="002A7FD9"/>
    <w:rsid w:val="002B2CB5"/>
    <w:rsid w:val="002B62A6"/>
    <w:rsid w:val="002B7470"/>
    <w:rsid w:val="002C268D"/>
    <w:rsid w:val="002C652E"/>
    <w:rsid w:val="002C7472"/>
    <w:rsid w:val="002C7D6F"/>
    <w:rsid w:val="002D0173"/>
    <w:rsid w:val="002D09AA"/>
    <w:rsid w:val="002D291F"/>
    <w:rsid w:val="002D59E8"/>
    <w:rsid w:val="002E6065"/>
    <w:rsid w:val="002E7F40"/>
    <w:rsid w:val="002F1E64"/>
    <w:rsid w:val="002F2333"/>
    <w:rsid w:val="002F5920"/>
    <w:rsid w:val="002F79F8"/>
    <w:rsid w:val="003051AB"/>
    <w:rsid w:val="00306E59"/>
    <w:rsid w:val="00310C83"/>
    <w:rsid w:val="003209D9"/>
    <w:rsid w:val="0032134C"/>
    <w:rsid w:val="00334E49"/>
    <w:rsid w:val="003372F3"/>
    <w:rsid w:val="003373B4"/>
    <w:rsid w:val="00342816"/>
    <w:rsid w:val="00346376"/>
    <w:rsid w:val="0035149A"/>
    <w:rsid w:val="0035647C"/>
    <w:rsid w:val="00364365"/>
    <w:rsid w:val="00370C41"/>
    <w:rsid w:val="00374257"/>
    <w:rsid w:val="00375D0D"/>
    <w:rsid w:val="00380BB0"/>
    <w:rsid w:val="00382973"/>
    <w:rsid w:val="00382D1F"/>
    <w:rsid w:val="003858EF"/>
    <w:rsid w:val="003876EE"/>
    <w:rsid w:val="00390360"/>
    <w:rsid w:val="00396A59"/>
    <w:rsid w:val="003A03CB"/>
    <w:rsid w:val="003A1231"/>
    <w:rsid w:val="003A4B36"/>
    <w:rsid w:val="003A4C25"/>
    <w:rsid w:val="003A4EFC"/>
    <w:rsid w:val="003A6C55"/>
    <w:rsid w:val="003B0353"/>
    <w:rsid w:val="003B1432"/>
    <w:rsid w:val="003B2844"/>
    <w:rsid w:val="003B73F6"/>
    <w:rsid w:val="003C2581"/>
    <w:rsid w:val="003C3459"/>
    <w:rsid w:val="003D2BFF"/>
    <w:rsid w:val="003D590D"/>
    <w:rsid w:val="003D680D"/>
    <w:rsid w:val="003F28FA"/>
    <w:rsid w:val="003F3006"/>
    <w:rsid w:val="003F5FEE"/>
    <w:rsid w:val="003F7918"/>
    <w:rsid w:val="003F7C0A"/>
    <w:rsid w:val="00402387"/>
    <w:rsid w:val="00404386"/>
    <w:rsid w:val="00410C1E"/>
    <w:rsid w:val="004164A9"/>
    <w:rsid w:val="0042160C"/>
    <w:rsid w:val="00423825"/>
    <w:rsid w:val="00423D46"/>
    <w:rsid w:val="004312CB"/>
    <w:rsid w:val="00433146"/>
    <w:rsid w:val="00434690"/>
    <w:rsid w:val="00434D8C"/>
    <w:rsid w:val="004364FF"/>
    <w:rsid w:val="00436D05"/>
    <w:rsid w:val="00436FA3"/>
    <w:rsid w:val="0043735E"/>
    <w:rsid w:val="00437F92"/>
    <w:rsid w:val="00440E00"/>
    <w:rsid w:val="0044166C"/>
    <w:rsid w:val="004449DF"/>
    <w:rsid w:val="00447FF2"/>
    <w:rsid w:val="00460471"/>
    <w:rsid w:val="00461293"/>
    <w:rsid w:val="004771E7"/>
    <w:rsid w:val="00483C8F"/>
    <w:rsid w:val="00487754"/>
    <w:rsid w:val="0049072A"/>
    <w:rsid w:val="004A237C"/>
    <w:rsid w:val="004A69FF"/>
    <w:rsid w:val="004A6A1C"/>
    <w:rsid w:val="004B004F"/>
    <w:rsid w:val="004B181A"/>
    <w:rsid w:val="004B5165"/>
    <w:rsid w:val="004B7321"/>
    <w:rsid w:val="004C2467"/>
    <w:rsid w:val="004D0786"/>
    <w:rsid w:val="004D20B5"/>
    <w:rsid w:val="004D5BC1"/>
    <w:rsid w:val="004E03DA"/>
    <w:rsid w:val="004E07F8"/>
    <w:rsid w:val="004E23A5"/>
    <w:rsid w:val="004E437C"/>
    <w:rsid w:val="004E5FA4"/>
    <w:rsid w:val="004F3824"/>
    <w:rsid w:val="004F624F"/>
    <w:rsid w:val="005057AE"/>
    <w:rsid w:val="0051153E"/>
    <w:rsid w:val="0052020A"/>
    <w:rsid w:val="00525DF2"/>
    <w:rsid w:val="00526206"/>
    <w:rsid w:val="005347E8"/>
    <w:rsid w:val="00535B9C"/>
    <w:rsid w:val="00535D29"/>
    <w:rsid w:val="00535ED6"/>
    <w:rsid w:val="005463B0"/>
    <w:rsid w:val="00550063"/>
    <w:rsid w:val="00550EF1"/>
    <w:rsid w:val="0055674F"/>
    <w:rsid w:val="00557104"/>
    <w:rsid w:val="0056131E"/>
    <w:rsid w:val="00567C15"/>
    <w:rsid w:val="0057455F"/>
    <w:rsid w:val="0058212D"/>
    <w:rsid w:val="0058376D"/>
    <w:rsid w:val="00590F76"/>
    <w:rsid w:val="0059269E"/>
    <w:rsid w:val="00593A9B"/>
    <w:rsid w:val="005979D7"/>
    <w:rsid w:val="00597E82"/>
    <w:rsid w:val="005A0334"/>
    <w:rsid w:val="005A0496"/>
    <w:rsid w:val="005A0FB1"/>
    <w:rsid w:val="005A10D8"/>
    <w:rsid w:val="005A5C8F"/>
    <w:rsid w:val="005A73B5"/>
    <w:rsid w:val="005B4CC7"/>
    <w:rsid w:val="005B76B4"/>
    <w:rsid w:val="005C13B9"/>
    <w:rsid w:val="005C2730"/>
    <w:rsid w:val="005C785D"/>
    <w:rsid w:val="005D6E56"/>
    <w:rsid w:val="005D7748"/>
    <w:rsid w:val="005E6ED5"/>
    <w:rsid w:val="005F0B6E"/>
    <w:rsid w:val="005F4F94"/>
    <w:rsid w:val="005F54FB"/>
    <w:rsid w:val="00600078"/>
    <w:rsid w:val="006108DB"/>
    <w:rsid w:val="0062195F"/>
    <w:rsid w:val="00622DB5"/>
    <w:rsid w:val="00625977"/>
    <w:rsid w:val="0062735C"/>
    <w:rsid w:val="00633F21"/>
    <w:rsid w:val="0063591C"/>
    <w:rsid w:val="00637935"/>
    <w:rsid w:val="0064061D"/>
    <w:rsid w:val="00640632"/>
    <w:rsid w:val="0064790E"/>
    <w:rsid w:val="00656420"/>
    <w:rsid w:val="00662C12"/>
    <w:rsid w:val="006630C4"/>
    <w:rsid w:val="00663D45"/>
    <w:rsid w:val="006672B9"/>
    <w:rsid w:val="00671EB7"/>
    <w:rsid w:val="0067209B"/>
    <w:rsid w:val="00681039"/>
    <w:rsid w:val="006821BF"/>
    <w:rsid w:val="00682A69"/>
    <w:rsid w:val="00687A29"/>
    <w:rsid w:val="0069312E"/>
    <w:rsid w:val="00693131"/>
    <w:rsid w:val="006944B4"/>
    <w:rsid w:val="006A23CD"/>
    <w:rsid w:val="006A2E68"/>
    <w:rsid w:val="006A37E4"/>
    <w:rsid w:val="006A3A31"/>
    <w:rsid w:val="006A591C"/>
    <w:rsid w:val="006A6ED9"/>
    <w:rsid w:val="006B0303"/>
    <w:rsid w:val="006B05EC"/>
    <w:rsid w:val="006B52CE"/>
    <w:rsid w:val="006C7834"/>
    <w:rsid w:val="006D0161"/>
    <w:rsid w:val="006D0A4D"/>
    <w:rsid w:val="006D2FD4"/>
    <w:rsid w:val="006E10CB"/>
    <w:rsid w:val="006E3827"/>
    <w:rsid w:val="006E724D"/>
    <w:rsid w:val="006E7493"/>
    <w:rsid w:val="006E7FFE"/>
    <w:rsid w:val="007032EB"/>
    <w:rsid w:val="007040E0"/>
    <w:rsid w:val="00711483"/>
    <w:rsid w:val="00711739"/>
    <w:rsid w:val="007127FB"/>
    <w:rsid w:val="00717552"/>
    <w:rsid w:val="00717C6D"/>
    <w:rsid w:val="00720F44"/>
    <w:rsid w:val="0072387E"/>
    <w:rsid w:val="0072745E"/>
    <w:rsid w:val="007303B2"/>
    <w:rsid w:val="00731EA7"/>
    <w:rsid w:val="00734399"/>
    <w:rsid w:val="00735468"/>
    <w:rsid w:val="00737432"/>
    <w:rsid w:val="00740AC9"/>
    <w:rsid w:val="00743F57"/>
    <w:rsid w:val="00751DFE"/>
    <w:rsid w:val="00752665"/>
    <w:rsid w:val="00753769"/>
    <w:rsid w:val="00760897"/>
    <w:rsid w:val="007609C6"/>
    <w:rsid w:val="007632CF"/>
    <w:rsid w:val="00765B4D"/>
    <w:rsid w:val="00765EDD"/>
    <w:rsid w:val="00773152"/>
    <w:rsid w:val="007800F3"/>
    <w:rsid w:val="00790008"/>
    <w:rsid w:val="00790046"/>
    <w:rsid w:val="00790853"/>
    <w:rsid w:val="00796DD9"/>
    <w:rsid w:val="007B3341"/>
    <w:rsid w:val="007B6207"/>
    <w:rsid w:val="007B6F5A"/>
    <w:rsid w:val="007C1AB9"/>
    <w:rsid w:val="007C4583"/>
    <w:rsid w:val="007C4727"/>
    <w:rsid w:val="007C773A"/>
    <w:rsid w:val="007D1421"/>
    <w:rsid w:val="007E11D2"/>
    <w:rsid w:val="007E1DC5"/>
    <w:rsid w:val="007E420C"/>
    <w:rsid w:val="007E6033"/>
    <w:rsid w:val="00800011"/>
    <w:rsid w:val="008013D7"/>
    <w:rsid w:val="00803EB0"/>
    <w:rsid w:val="00814838"/>
    <w:rsid w:val="00823A98"/>
    <w:rsid w:val="008249C8"/>
    <w:rsid w:val="00831118"/>
    <w:rsid w:val="00834D16"/>
    <w:rsid w:val="00837C64"/>
    <w:rsid w:val="00840044"/>
    <w:rsid w:val="008402F5"/>
    <w:rsid w:val="008442E7"/>
    <w:rsid w:val="008471CB"/>
    <w:rsid w:val="00847EE8"/>
    <w:rsid w:val="008519FF"/>
    <w:rsid w:val="00852547"/>
    <w:rsid w:val="00862DE1"/>
    <w:rsid w:val="008727EE"/>
    <w:rsid w:val="00880CF8"/>
    <w:rsid w:val="00880E1C"/>
    <w:rsid w:val="008832A5"/>
    <w:rsid w:val="00883C98"/>
    <w:rsid w:val="0088564D"/>
    <w:rsid w:val="00890027"/>
    <w:rsid w:val="0089215D"/>
    <w:rsid w:val="008946C2"/>
    <w:rsid w:val="008A4A03"/>
    <w:rsid w:val="008A6B58"/>
    <w:rsid w:val="008A6DB7"/>
    <w:rsid w:val="008A7177"/>
    <w:rsid w:val="008B2367"/>
    <w:rsid w:val="008B6856"/>
    <w:rsid w:val="008C16D1"/>
    <w:rsid w:val="008C2F44"/>
    <w:rsid w:val="008D501E"/>
    <w:rsid w:val="008D5882"/>
    <w:rsid w:val="008E2553"/>
    <w:rsid w:val="008E543C"/>
    <w:rsid w:val="008F69C9"/>
    <w:rsid w:val="008F6DCC"/>
    <w:rsid w:val="008F70AC"/>
    <w:rsid w:val="008F782F"/>
    <w:rsid w:val="009002B0"/>
    <w:rsid w:val="0090056E"/>
    <w:rsid w:val="009067F2"/>
    <w:rsid w:val="00910A41"/>
    <w:rsid w:val="00913669"/>
    <w:rsid w:val="00915B28"/>
    <w:rsid w:val="009208A0"/>
    <w:rsid w:val="00920D2B"/>
    <w:rsid w:val="009245FE"/>
    <w:rsid w:val="00925C50"/>
    <w:rsid w:val="009310C7"/>
    <w:rsid w:val="0093334B"/>
    <w:rsid w:val="00933BE6"/>
    <w:rsid w:val="009377A1"/>
    <w:rsid w:val="0094340B"/>
    <w:rsid w:val="009455E5"/>
    <w:rsid w:val="009471AF"/>
    <w:rsid w:val="0095390A"/>
    <w:rsid w:val="00962582"/>
    <w:rsid w:val="00963C04"/>
    <w:rsid w:val="00972637"/>
    <w:rsid w:val="0097759B"/>
    <w:rsid w:val="0098086E"/>
    <w:rsid w:val="00982BA0"/>
    <w:rsid w:val="00985BB2"/>
    <w:rsid w:val="0098758C"/>
    <w:rsid w:val="0099267F"/>
    <w:rsid w:val="00992913"/>
    <w:rsid w:val="009A2733"/>
    <w:rsid w:val="009A3747"/>
    <w:rsid w:val="009B101A"/>
    <w:rsid w:val="009B1E22"/>
    <w:rsid w:val="009B321B"/>
    <w:rsid w:val="009C10F0"/>
    <w:rsid w:val="009C66BD"/>
    <w:rsid w:val="009D49E6"/>
    <w:rsid w:val="009D5902"/>
    <w:rsid w:val="009D6BA8"/>
    <w:rsid w:val="009E26F9"/>
    <w:rsid w:val="009E3C5D"/>
    <w:rsid w:val="009F034C"/>
    <w:rsid w:val="009F43AD"/>
    <w:rsid w:val="009F4515"/>
    <w:rsid w:val="009F79F8"/>
    <w:rsid w:val="00A0011D"/>
    <w:rsid w:val="00A008BF"/>
    <w:rsid w:val="00A017A2"/>
    <w:rsid w:val="00A165D9"/>
    <w:rsid w:val="00A32DD2"/>
    <w:rsid w:val="00A34BF3"/>
    <w:rsid w:val="00A43B2D"/>
    <w:rsid w:val="00A44671"/>
    <w:rsid w:val="00A45A90"/>
    <w:rsid w:val="00A46D02"/>
    <w:rsid w:val="00A51EF4"/>
    <w:rsid w:val="00A54064"/>
    <w:rsid w:val="00A56E9F"/>
    <w:rsid w:val="00A621F2"/>
    <w:rsid w:val="00A63123"/>
    <w:rsid w:val="00A631E7"/>
    <w:rsid w:val="00A66742"/>
    <w:rsid w:val="00A775A8"/>
    <w:rsid w:val="00A77EB2"/>
    <w:rsid w:val="00A83A12"/>
    <w:rsid w:val="00A85466"/>
    <w:rsid w:val="00A87787"/>
    <w:rsid w:val="00AA0C34"/>
    <w:rsid w:val="00AA2732"/>
    <w:rsid w:val="00AA6172"/>
    <w:rsid w:val="00AA61C2"/>
    <w:rsid w:val="00AB1002"/>
    <w:rsid w:val="00AC6125"/>
    <w:rsid w:val="00AC7574"/>
    <w:rsid w:val="00AC77F2"/>
    <w:rsid w:val="00AC7A42"/>
    <w:rsid w:val="00AD1C8A"/>
    <w:rsid w:val="00AD2488"/>
    <w:rsid w:val="00AD5308"/>
    <w:rsid w:val="00AD7B2C"/>
    <w:rsid w:val="00AE08A0"/>
    <w:rsid w:val="00AE224B"/>
    <w:rsid w:val="00AE53CF"/>
    <w:rsid w:val="00AE6BFD"/>
    <w:rsid w:val="00AF5275"/>
    <w:rsid w:val="00AF743D"/>
    <w:rsid w:val="00B00989"/>
    <w:rsid w:val="00B01B46"/>
    <w:rsid w:val="00B02768"/>
    <w:rsid w:val="00B0334A"/>
    <w:rsid w:val="00B13C91"/>
    <w:rsid w:val="00B1699B"/>
    <w:rsid w:val="00B16CE1"/>
    <w:rsid w:val="00B23060"/>
    <w:rsid w:val="00B23771"/>
    <w:rsid w:val="00B27FB6"/>
    <w:rsid w:val="00B3799F"/>
    <w:rsid w:val="00B37CB1"/>
    <w:rsid w:val="00B37D8C"/>
    <w:rsid w:val="00B413FC"/>
    <w:rsid w:val="00B43D0D"/>
    <w:rsid w:val="00B4439C"/>
    <w:rsid w:val="00B44FAE"/>
    <w:rsid w:val="00B47F23"/>
    <w:rsid w:val="00B516C0"/>
    <w:rsid w:val="00B5283C"/>
    <w:rsid w:val="00B55535"/>
    <w:rsid w:val="00B60C0D"/>
    <w:rsid w:val="00B627C5"/>
    <w:rsid w:val="00B63FBE"/>
    <w:rsid w:val="00B67CCF"/>
    <w:rsid w:val="00B71FFD"/>
    <w:rsid w:val="00B72509"/>
    <w:rsid w:val="00B7345B"/>
    <w:rsid w:val="00B75464"/>
    <w:rsid w:val="00B75AA4"/>
    <w:rsid w:val="00B75B89"/>
    <w:rsid w:val="00B7773A"/>
    <w:rsid w:val="00B845BF"/>
    <w:rsid w:val="00B85EF0"/>
    <w:rsid w:val="00B8639B"/>
    <w:rsid w:val="00B901ED"/>
    <w:rsid w:val="00B932A4"/>
    <w:rsid w:val="00B941AD"/>
    <w:rsid w:val="00B972B5"/>
    <w:rsid w:val="00BA1DFE"/>
    <w:rsid w:val="00BA2AA4"/>
    <w:rsid w:val="00BA3406"/>
    <w:rsid w:val="00BA41BF"/>
    <w:rsid w:val="00BB0650"/>
    <w:rsid w:val="00BB2520"/>
    <w:rsid w:val="00BC1049"/>
    <w:rsid w:val="00BC20F4"/>
    <w:rsid w:val="00BC32F8"/>
    <w:rsid w:val="00BC4BC7"/>
    <w:rsid w:val="00BC4F2C"/>
    <w:rsid w:val="00BC4F56"/>
    <w:rsid w:val="00BC50C7"/>
    <w:rsid w:val="00BC75AE"/>
    <w:rsid w:val="00BD2BCA"/>
    <w:rsid w:val="00BD3346"/>
    <w:rsid w:val="00BE0A95"/>
    <w:rsid w:val="00BE5493"/>
    <w:rsid w:val="00BF0D2A"/>
    <w:rsid w:val="00BF2C1B"/>
    <w:rsid w:val="00BF3507"/>
    <w:rsid w:val="00BF35A5"/>
    <w:rsid w:val="00BF4094"/>
    <w:rsid w:val="00BF422F"/>
    <w:rsid w:val="00C0559B"/>
    <w:rsid w:val="00C06C65"/>
    <w:rsid w:val="00C073F5"/>
    <w:rsid w:val="00C074F1"/>
    <w:rsid w:val="00C138C3"/>
    <w:rsid w:val="00C13E06"/>
    <w:rsid w:val="00C22734"/>
    <w:rsid w:val="00C2388E"/>
    <w:rsid w:val="00C24C9C"/>
    <w:rsid w:val="00C25F8C"/>
    <w:rsid w:val="00C26613"/>
    <w:rsid w:val="00C27DAA"/>
    <w:rsid w:val="00C34855"/>
    <w:rsid w:val="00C3686D"/>
    <w:rsid w:val="00C448B5"/>
    <w:rsid w:val="00C44F52"/>
    <w:rsid w:val="00C51B4E"/>
    <w:rsid w:val="00C53C03"/>
    <w:rsid w:val="00C60EFC"/>
    <w:rsid w:val="00C678D3"/>
    <w:rsid w:val="00C73A08"/>
    <w:rsid w:val="00C74144"/>
    <w:rsid w:val="00C7445D"/>
    <w:rsid w:val="00C75736"/>
    <w:rsid w:val="00C771E3"/>
    <w:rsid w:val="00C802C2"/>
    <w:rsid w:val="00C821EF"/>
    <w:rsid w:val="00C82C58"/>
    <w:rsid w:val="00C839D6"/>
    <w:rsid w:val="00C87511"/>
    <w:rsid w:val="00C94B3C"/>
    <w:rsid w:val="00C94C7D"/>
    <w:rsid w:val="00C96C49"/>
    <w:rsid w:val="00C9774F"/>
    <w:rsid w:val="00CA0597"/>
    <w:rsid w:val="00CA720C"/>
    <w:rsid w:val="00CB162C"/>
    <w:rsid w:val="00CB3D39"/>
    <w:rsid w:val="00CC5699"/>
    <w:rsid w:val="00CD09A9"/>
    <w:rsid w:val="00CD0FE9"/>
    <w:rsid w:val="00CD2694"/>
    <w:rsid w:val="00CD35B7"/>
    <w:rsid w:val="00CD4205"/>
    <w:rsid w:val="00CD4F32"/>
    <w:rsid w:val="00CD798C"/>
    <w:rsid w:val="00CE1873"/>
    <w:rsid w:val="00CE3E2A"/>
    <w:rsid w:val="00CE3E6B"/>
    <w:rsid w:val="00CE4BEA"/>
    <w:rsid w:val="00CF0AF4"/>
    <w:rsid w:val="00CF22C1"/>
    <w:rsid w:val="00CF48E3"/>
    <w:rsid w:val="00D00689"/>
    <w:rsid w:val="00D0137E"/>
    <w:rsid w:val="00D01E0F"/>
    <w:rsid w:val="00D0428D"/>
    <w:rsid w:val="00D11895"/>
    <w:rsid w:val="00D137C9"/>
    <w:rsid w:val="00D1587F"/>
    <w:rsid w:val="00D20279"/>
    <w:rsid w:val="00D207AB"/>
    <w:rsid w:val="00D22FC2"/>
    <w:rsid w:val="00D331CE"/>
    <w:rsid w:val="00D34FCE"/>
    <w:rsid w:val="00D416C8"/>
    <w:rsid w:val="00D4456B"/>
    <w:rsid w:val="00D50E35"/>
    <w:rsid w:val="00D53254"/>
    <w:rsid w:val="00D55B79"/>
    <w:rsid w:val="00D56A0B"/>
    <w:rsid w:val="00D5742D"/>
    <w:rsid w:val="00D60DCD"/>
    <w:rsid w:val="00D61DE8"/>
    <w:rsid w:val="00D63B72"/>
    <w:rsid w:val="00D64D55"/>
    <w:rsid w:val="00D66009"/>
    <w:rsid w:val="00D66081"/>
    <w:rsid w:val="00D72A31"/>
    <w:rsid w:val="00D758DA"/>
    <w:rsid w:val="00D76532"/>
    <w:rsid w:val="00D77A63"/>
    <w:rsid w:val="00D80F5A"/>
    <w:rsid w:val="00D91240"/>
    <w:rsid w:val="00D9329C"/>
    <w:rsid w:val="00D964B8"/>
    <w:rsid w:val="00D9795D"/>
    <w:rsid w:val="00DA1F74"/>
    <w:rsid w:val="00DA45B5"/>
    <w:rsid w:val="00DA7D13"/>
    <w:rsid w:val="00DB6036"/>
    <w:rsid w:val="00DB6720"/>
    <w:rsid w:val="00DC08C8"/>
    <w:rsid w:val="00DC2AB4"/>
    <w:rsid w:val="00DC6A87"/>
    <w:rsid w:val="00DD351A"/>
    <w:rsid w:val="00DD42CE"/>
    <w:rsid w:val="00DD64D0"/>
    <w:rsid w:val="00DD7A3F"/>
    <w:rsid w:val="00DE1795"/>
    <w:rsid w:val="00DE54B3"/>
    <w:rsid w:val="00DF2DEF"/>
    <w:rsid w:val="00E0175F"/>
    <w:rsid w:val="00E04C3B"/>
    <w:rsid w:val="00E04EE8"/>
    <w:rsid w:val="00E07C83"/>
    <w:rsid w:val="00E13B0C"/>
    <w:rsid w:val="00E13F26"/>
    <w:rsid w:val="00E15406"/>
    <w:rsid w:val="00E172B1"/>
    <w:rsid w:val="00E175C7"/>
    <w:rsid w:val="00E25196"/>
    <w:rsid w:val="00E300BF"/>
    <w:rsid w:val="00E30C46"/>
    <w:rsid w:val="00E31DED"/>
    <w:rsid w:val="00E34B6D"/>
    <w:rsid w:val="00E3785A"/>
    <w:rsid w:val="00E4172D"/>
    <w:rsid w:val="00E42901"/>
    <w:rsid w:val="00E4465A"/>
    <w:rsid w:val="00E523D0"/>
    <w:rsid w:val="00E529BE"/>
    <w:rsid w:val="00E52AA9"/>
    <w:rsid w:val="00E540DC"/>
    <w:rsid w:val="00E55C03"/>
    <w:rsid w:val="00E57312"/>
    <w:rsid w:val="00E57C66"/>
    <w:rsid w:val="00E65B32"/>
    <w:rsid w:val="00E661EC"/>
    <w:rsid w:val="00E67684"/>
    <w:rsid w:val="00E708D2"/>
    <w:rsid w:val="00E72CB1"/>
    <w:rsid w:val="00E7576C"/>
    <w:rsid w:val="00E7770D"/>
    <w:rsid w:val="00E84A03"/>
    <w:rsid w:val="00E92D16"/>
    <w:rsid w:val="00EA1762"/>
    <w:rsid w:val="00EA492E"/>
    <w:rsid w:val="00EA5A80"/>
    <w:rsid w:val="00EB02A0"/>
    <w:rsid w:val="00EB11EC"/>
    <w:rsid w:val="00EB4968"/>
    <w:rsid w:val="00EC0160"/>
    <w:rsid w:val="00EC39F4"/>
    <w:rsid w:val="00EC6DBC"/>
    <w:rsid w:val="00ED18F1"/>
    <w:rsid w:val="00ED4D58"/>
    <w:rsid w:val="00EE0DBB"/>
    <w:rsid w:val="00EE6DC9"/>
    <w:rsid w:val="00EF57A5"/>
    <w:rsid w:val="00F07129"/>
    <w:rsid w:val="00F1026B"/>
    <w:rsid w:val="00F163C2"/>
    <w:rsid w:val="00F22F69"/>
    <w:rsid w:val="00F32FEE"/>
    <w:rsid w:val="00F33169"/>
    <w:rsid w:val="00F37006"/>
    <w:rsid w:val="00F37371"/>
    <w:rsid w:val="00F45908"/>
    <w:rsid w:val="00F47003"/>
    <w:rsid w:val="00F5022D"/>
    <w:rsid w:val="00F5498A"/>
    <w:rsid w:val="00F64B87"/>
    <w:rsid w:val="00F6778B"/>
    <w:rsid w:val="00F76849"/>
    <w:rsid w:val="00F777F7"/>
    <w:rsid w:val="00F8179E"/>
    <w:rsid w:val="00F925C2"/>
    <w:rsid w:val="00F97301"/>
    <w:rsid w:val="00F977DF"/>
    <w:rsid w:val="00FA7354"/>
    <w:rsid w:val="00FB486D"/>
    <w:rsid w:val="00FB5F11"/>
    <w:rsid w:val="00FB634D"/>
    <w:rsid w:val="00FC6844"/>
    <w:rsid w:val="00FD1959"/>
    <w:rsid w:val="00FD2373"/>
    <w:rsid w:val="00FD3294"/>
    <w:rsid w:val="00FE0E3E"/>
    <w:rsid w:val="00FE0FD1"/>
    <w:rsid w:val="00FE7BEC"/>
    <w:rsid w:val="00FF10A2"/>
    <w:rsid w:val="00FF38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C30FB558-41B9-41BC-A72A-0A0D838EA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20" w:line="360" w:lineRule="auto"/>
      <w:ind w:firstLine="720"/>
      <w:jc w:val="both"/>
    </w:pPr>
    <w:rPr>
      <w:sz w:val="24"/>
      <w:lang w:val="bg-BG" w:eastAsia="bg-BG"/>
    </w:rPr>
  </w:style>
  <w:style w:type="paragraph" w:styleId="Heading1">
    <w:name w:val="heading 1"/>
    <w:basedOn w:val="Normal"/>
    <w:next w:val="Normal"/>
    <w:qFormat/>
    <w:pPr>
      <w:keepNext/>
      <w:keepLines/>
      <w:spacing w:before="240" w:after="60"/>
      <w:ind w:firstLine="0"/>
      <w:jc w:val="center"/>
      <w:outlineLvl w:val="0"/>
    </w:pPr>
    <w:rPr>
      <w:b/>
      <w:kern w:val="28"/>
      <w:sz w:val="28"/>
    </w:rPr>
  </w:style>
  <w:style w:type="paragraph" w:styleId="Heading2">
    <w:name w:val="heading 2"/>
    <w:basedOn w:val="Normal"/>
    <w:next w:val="Normal"/>
    <w:qFormat/>
    <w:pPr>
      <w:keepNext/>
      <w:keepLines/>
      <w:spacing w:before="240" w:after="60"/>
      <w:ind w:firstLine="0"/>
      <w:jc w:val="left"/>
      <w:outlineLvl w:val="1"/>
    </w:pPr>
    <w:rPr>
      <w:b/>
      <w:i/>
    </w:rPr>
  </w:style>
  <w:style w:type="paragraph" w:styleId="Heading3">
    <w:name w:val="heading 3"/>
    <w:basedOn w:val="Normal"/>
    <w:next w:val="Normal"/>
    <w:qFormat/>
    <w:pPr>
      <w:keepNext/>
      <w:spacing w:before="240" w:after="60"/>
      <w:ind w:firstLine="0"/>
      <w:jc w:val="lef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semiHidden/>
    <w:pPr>
      <w:tabs>
        <w:tab w:val="right" w:pos="10773"/>
      </w:tabs>
    </w:pPr>
    <w:rPr>
      <w:i/>
      <w:sz w:val="22"/>
      <w:lang w:val="bg-BG" w:eastAsia="bg-BG"/>
    </w:rPr>
  </w:style>
  <w:style w:type="paragraph" w:styleId="Footer">
    <w:name w:val="footer"/>
    <w:basedOn w:val="Header"/>
    <w:semiHidden/>
  </w:style>
  <w:style w:type="paragraph" w:styleId="BalloonText">
    <w:name w:val="Balloon Text"/>
    <w:basedOn w:val="Normal"/>
    <w:semiHidden/>
    <w:rPr>
      <w:rFonts w:ascii="Tahoma" w:hAnsi="Tahoma" w:cs="Tahoma"/>
      <w:sz w:val="16"/>
      <w:szCs w:val="16"/>
    </w:rPr>
  </w:style>
  <w:style w:type="character" w:customStyle="1" w:styleId="1">
    <w:name w:val="Основен текст1"/>
    <w:basedOn w:val="DefaultParagraphFont"/>
    <w:rPr>
      <w:rFonts w:ascii="Times New Roman" w:hAnsi="Times New Roman"/>
      <w:sz w:val="24"/>
    </w:rPr>
  </w:style>
  <w:style w:type="character" w:styleId="FootnoteReference">
    <w:name w:val="footnote reference"/>
    <w:basedOn w:val="DefaultParagraphFont"/>
    <w:semiHidden/>
    <w:rPr>
      <w:rFonts w:ascii="Times New Roman" w:hAnsi="Times New Roman"/>
      <w:sz w:val="18"/>
      <w:vertAlign w:val="superscript"/>
    </w:rPr>
  </w:style>
  <w:style w:type="paragraph" w:styleId="FootnoteText">
    <w:name w:val="footnote text"/>
    <w:semiHidden/>
    <w:pPr>
      <w:tabs>
        <w:tab w:val="left" w:pos="216"/>
      </w:tabs>
      <w:ind w:left="430" w:hanging="215"/>
    </w:pPr>
    <w:rPr>
      <w:lang w:val="bg-BG" w:eastAsia="bg-BG"/>
    </w:rPr>
  </w:style>
  <w:style w:type="paragraph" w:styleId="TOC1">
    <w:name w:val="toc 1"/>
    <w:next w:val="Normal"/>
    <w:semiHidden/>
    <w:pPr>
      <w:tabs>
        <w:tab w:val="right" w:leader="dot" w:pos="9638"/>
      </w:tabs>
      <w:spacing w:before="120"/>
    </w:pPr>
    <w:rPr>
      <w:rFonts w:ascii="Arial" w:hAnsi="Arial"/>
      <w:lang w:val="bg-BG" w:eastAsia="bg-BG"/>
    </w:rPr>
  </w:style>
  <w:style w:type="paragraph" w:styleId="TOC2">
    <w:name w:val="toc 2"/>
    <w:basedOn w:val="TOC1"/>
    <w:next w:val="Normal"/>
    <w:semiHidden/>
    <w:pPr>
      <w:spacing w:before="80"/>
      <w:ind w:left="238"/>
    </w:pPr>
  </w:style>
  <w:style w:type="paragraph" w:styleId="TOC3">
    <w:name w:val="toc 3"/>
    <w:basedOn w:val="TOC1"/>
    <w:next w:val="Normal"/>
    <w:semiHidden/>
    <w:pPr>
      <w:spacing w:before="40"/>
      <w:ind w:left="482"/>
    </w:pPr>
  </w:style>
  <w:style w:type="paragraph" w:styleId="TOC4">
    <w:name w:val="toc 4"/>
    <w:basedOn w:val="TOC1"/>
    <w:next w:val="Normal"/>
    <w:semiHidden/>
    <w:pPr>
      <w:spacing w:before="0"/>
      <w:ind w:left="720"/>
    </w:pPr>
  </w:style>
  <w:style w:type="paragraph" w:customStyle="1" w:styleId="a">
    <w:name w:val="БДС параграф"/>
    <w:pPr>
      <w:spacing w:line="480" w:lineRule="auto"/>
      <w:ind w:firstLine="720"/>
    </w:pPr>
    <w:rPr>
      <w:rFonts w:ascii="Arial" w:hAnsi="Arial"/>
      <w:sz w:val="24"/>
      <w:lang w:val="bg-BG" w:eastAsia="bg-BG"/>
    </w:rPr>
  </w:style>
  <w:style w:type="paragraph" w:customStyle="1" w:styleId="a0">
    <w:name w:val="Обикн. параграф"/>
    <w:basedOn w:val="Normal"/>
  </w:style>
  <w:style w:type="paragraph" w:customStyle="1" w:styleId="10">
    <w:name w:val="Заглавие 1 центрирано"/>
    <w:basedOn w:val="a0"/>
    <w:next w:val="a0"/>
    <w:pPr>
      <w:spacing w:before="240" w:after="60"/>
      <w:ind w:firstLine="0"/>
      <w:jc w:val="center"/>
    </w:pPr>
    <w:rPr>
      <w:b/>
      <w:sz w:val="28"/>
    </w:rPr>
  </w:style>
  <w:style w:type="paragraph" w:customStyle="1" w:styleId="11">
    <w:name w:val="Заглавие 1 ляво"/>
    <w:basedOn w:val="10"/>
    <w:next w:val="a0"/>
    <w:pPr>
      <w:jc w:val="left"/>
    </w:pPr>
  </w:style>
  <w:style w:type="paragraph" w:customStyle="1" w:styleId="2">
    <w:name w:val="Заглавие 2 центрирано"/>
    <w:basedOn w:val="10"/>
    <w:next w:val="a0"/>
    <w:rPr>
      <w:i/>
      <w:sz w:val="24"/>
    </w:rPr>
  </w:style>
  <w:style w:type="paragraph" w:customStyle="1" w:styleId="20">
    <w:name w:val="Заглавие 2 ляво"/>
    <w:basedOn w:val="2"/>
    <w:next w:val="a0"/>
    <w:pPr>
      <w:jc w:val="left"/>
    </w:pPr>
  </w:style>
  <w:style w:type="paragraph" w:customStyle="1" w:styleId="3">
    <w:name w:val="Заглавие 3 центрирано"/>
    <w:basedOn w:val="10"/>
    <w:next w:val="a0"/>
    <w:rPr>
      <w:sz w:val="24"/>
    </w:rPr>
  </w:style>
  <w:style w:type="paragraph" w:customStyle="1" w:styleId="30">
    <w:name w:val="Заглавие 3 ляво"/>
    <w:basedOn w:val="3"/>
    <w:next w:val="a0"/>
    <w:pPr>
      <w:jc w:val="left"/>
    </w:pPr>
  </w:style>
  <w:style w:type="paragraph" w:customStyle="1" w:styleId="a1">
    <w:name w:val="Заглавие на документа"/>
    <w:basedOn w:val="a0"/>
    <w:next w:val="a0"/>
    <w:pPr>
      <w:keepNext/>
      <w:keepLines/>
      <w:spacing w:before="0" w:after="960" w:line="480" w:lineRule="exact"/>
      <w:ind w:firstLine="0"/>
      <w:jc w:val="center"/>
    </w:pPr>
    <w:rPr>
      <w:b/>
      <w:sz w:val="32"/>
    </w:rPr>
  </w:style>
  <w:style w:type="paragraph" w:customStyle="1" w:styleId="a2">
    <w:name w:val="Обикн. пар. с продължение"/>
    <w:basedOn w:val="a0"/>
    <w:next w:val="a0"/>
    <w:pPr>
      <w:keepNext/>
    </w:pPr>
  </w:style>
  <w:style w:type="paragraph" w:customStyle="1" w:styleId="a3">
    <w:name w:val="Плътен параграф"/>
    <w:basedOn w:val="a0"/>
    <w:next w:val="a0"/>
    <w:pPr>
      <w:tabs>
        <w:tab w:val="left" w:pos="1701"/>
        <w:tab w:val="left" w:pos="3402"/>
        <w:tab w:val="left" w:pos="5103"/>
        <w:tab w:val="left" w:pos="6804"/>
        <w:tab w:val="left" w:pos="8505"/>
        <w:tab w:val="right" w:pos="9639"/>
      </w:tabs>
      <w:ind w:firstLine="0"/>
    </w:pPr>
  </w:style>
  <w:style w:type="paragraph" w:customStyle="1" w:styleId="12">
    <w:name w:val="Пар. с  12 см отстъп"/>
    <w:basedOn w:val="a3"/>
    <w:pPr>
      <w:tabs>
        <w:tab w:val="clear" w:pos="1701"/>
        <w:tab w:val="clear" w:pos="3402"/>
        <w:tab w:val="clear" w:pos="5103"/>
        <w:tab w:val="clear" w:pos="6804"/>
      </w:tabs>
      <w:spacing w:before="0"/>
      <w:ind w:left="6804"/>
    </w:pPr>
  </w:style>
  <w:style w:type="paragraph" w:customStyle="1" w:styleId="31">
    <w:name w:val="Пар. с  3 см отстъп"/>
    <w:basedOn w:val="a3"/>
    <w:pPr>
      <w:tabs>
        <w:tab w:val="clear" w:pos="1701"/>
      </w:tabs>
      <w:spacing w:before="0"/>
      <w:ind w:left="1701"/>
    </w:pPr>
  </w:style>
  <w:style w:type="paragraph" w:customStyle="1" w:styleId="6">
    <w:name w:val="Пар. с  6 см отстъп"/>
    <w:basedOn w:val="a3"/>
    <w:pPr>
      <w:tabs>
        <w:tab w:val="clear" w:pos="1701"/>
        <w:tab w:val="clear" w:pos="3402"/>
      </w:tabs>
      <w:spacing w:before="0"/>
      <w:ind w:left="3402"/>
    </w:pPr>
  </w:style>
  <w:style w:type="paragraph" w:customStyle="1" w:styleId="9">
    <w:name w:val="Пар. с  9 см отстъп"/>
    <w:basedOn w:val="a3"/>
    <w:pPr>
      <w:tabs>
        <w:tab w:val="clear" w:pos="1701"/>
        <w:tab w:val="clear" w:pos="3402"/>
        <w:tab w:val="clear" w:pos="5103"/>
      </w:tabs>
      <w:spacing w:before="0"/>
      <w:ind w:left="5103"/>
    </w:pPr>
  </w:style>
  <w:style w:type="paragraph" w:customStyle="1" w:styleId="a4">
    <w:name w:val="Плътен пар. с прод."/>
    <w:basedOn w:val="a3"/>
    <w:pPr>
      <w:keepNext/>
    </w:pPr>
  </w:style>
  <w:style w:type="paragraph" w:customStyle="1" w:styleId="1-">
    <w:name w:val="Списък 1-о ниво"/>
    <w:basedOn w:val="a0"/>
    <w:pPr>
      <w:tabs>
        <w:tab w:val="left" w:pos="1008"/>
      </w:tabs>
      <w:spacing w:before="60"/>
      <w:ind w:left="1296" w:hanging="288"/>
    </w:pPr>
  </w:style>
  <w:style w:type="paragraph" w:customStyle="1" w:styleId="2-">
    <w:name w:val="Списък 2-о ниво"/>
    <w:basedOn w:val="1-"/>
    <w:pPr>
      <w:tabs>
        <w:tab w:val="clear" w:pos="1008"/>
        <w:tab w:val="left" w:pos="1728"/>
      </w:tabs>
      <w:ind w:left="2017" w:hanging="289"/>
    </w:pPr>
  </w:style>
  <w:style w:type="paragraph" w:customStyle="1" w:styleId="3-">
    <w:name w:val="Списък 3-о ниво"/>
    <w:basedOn w:val="1-"/>
    <w:pPr>
      <w:tabs>
        <w:tab w:val="clear" w:pos="1008"/>
        <w:tab w:val="left" w:pos="2448"/>
      </w:tabs>
      <w:ind w:left="2737" w:hanging="289"/>
    </w:pPr>
  </w:style>
  <w:style w:type="paragraph" w:styleId="ListParagraph">
    <w:name w:val="List Paragraph"/>
    <w:basedOn w:val="Normal"/>
    <w:uiPriority w:val="34"/>
    <w:qFormat/>
    <w:rsid w:val="00D91240"/>
    <w:pPr>
      <w:spacing w:before="0" w:after="200" w:line="276" w:lineRule="auto"/>
      <w:ind w:left="720" w:firstLine="0"/>
      <w:contextualSpacing/>
      <w:jc w:val="left"/>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sid w:val="002A7FD9"/>
    <w:rPr>
      <w:color w:val="0563C1" w:themeColor="hyperlink"/>
      <w:u w:val="single"/>
    </w:rPr>
  </w:style>
  <w:style w:type="paragraph" w:customStyle="1" w:styleId="04-TEXTFIRST">
    <w:name w:val="04-TEXT FIRST"/>
    <w:basedOn w:val="Normal"/>
    <w:rsid w:val="00E0175F"/>
    <w:pPr>
      <w:spacing w:before="200"/>
      <w:ind w:firstLine="227"/>
    </w:pPr>
    <w:rPr>
      <w:rFonts w:ascii="Arial" w:hAnsi="Arial"/>
      <w:sz w:val="20"/>
      <w:szCs w:val="24"/>
      <w:lang w:eastAsia="en-US"/>
    </w:rPr>
  </w:style>
  <w:style w:type="paragraph" w:styleId="NormalWeb">
    <w:name w:val="Normal (Web)"/>
    <w:basedOn w:val="Normal"/>
    <w:uiPriority w:val="99"/>
    <w:semiHidden/>
    <w:unhideWhenUsed/>
    <w:rsid w:val="007032EB"/>
    <w:pPr>
      <w:spacing w:before="100" w:beforeAutospacing="1" w:after="100" w:afterAutospacing="1" w:line="240" w:lineRule="auto"/>
      <w:ind w:firstLine="0"/>
      <w:jc w:val="left"/>
    </w:pPr>
    <w:rPr>
      <w:szCs w:val="24"/>
    </w:rPr>
  </w:style>
  <w:style w:type="character" w:styleId="FollowedHyperlink">
    <w:name w:val="FollowedHyperlink"/>
    <w:basedOn w:val="DefaultParagraphFont"/>
    <w:uiPriority w:val="99"/>
    <w:semiHidden/>
    <w:unhideWhenUsed/>
    <w:rsid w:val="007032EB"/>
    <w:rPr>
      <w:color w:val="954F72" w:themeColor="followedHyperlink"/>
      <w:u w:val="single"/>
    </w:rPr>
  </w:style>
  <w:style w:type="paragraph" w:customStyle="1" w:styleId="02-DATE">
    <w:name w:val="02-DATE"/>
    <w:next w:val="Normal"/>
    <w:rsid w:val="00765EDD"/>
    <w:pPr>
      <w:spacing w:line="360" w:lineRule="auto"/>
      <w:jc w:val="right"/>
    </w:pPr>
    <w:rPr>
      <w:rFonts w:ascii="Arial" w:hAnsi="Arial"/>
      <w:b/>
      <w:lang w:val="bg-BG" w:eastAsia="en-US"/>
    </w:rPr>
  </w:style>
  <w:style w:type="paragraph" w:customStyle="1" w:styleId="01-PRESSRELEASE">
    <w:name w:val="01-PRESSRELEASE"/>
    <w:next w:val="Normal"/>
    <w:rsid w:val="00567C15"/>
    <w:pPr>
      <w:spacing w:before="400" w:line="360" w:lineRule="auto"/>
      <w:jc w:val="center"/>
    </w:pPr>
    <w:rPr>
      <w:rFonts w:ascii="Arial" w:hAnsi="Arial"/>
      <w:b/>
      <w:lang w:val="bg-B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2093704">
      <w:bodyDiv w:val="1"/>
      <w:marLeft w:val="0"/>
      <w:marRight w:val="0"/>
      <w:marTop w:val="0"/>
      <w:marBottom w:val="0"/>
      <w:divBdr>
        <w:top w:val="none" w:sz="0" w:space="0" w:color="auto"/>
        <w:left w:val="none" w:sz="0" w:space="0" w:color="auto"/>
        <w:bottom w:val="none" w:sz="0" w:space="0" w:color="auto"/>
        <w:right w:val="none" w:sz="0" w:space="0" w:color="auto"/>
      </w:divBdr>
      <w:divsChild>
        <w:div w:id="1621911267">
          <w:marLeft w:val="0"/>
          <w:marRight w:val="0"/>
          <w:marTop w:val="0"/>
          <w:marBottom w:val="0"/>
          <w:divBdr>
            <w:top w:val="none" w:sz="0" w:space="0" w:color="auto"/>
            <w:left w:val="none" w:sz="0" w:space="0" w:color="auto"/>
            <w:bottom w:val="none" w:sz="0" w:space="0" w:color="auto"/>
            <w:right w:val="none" w:sz="0" w:space="0" w:color="auto"/>
          </w:divBdr>
          <w:divsChild>
            <w:div w:id="1077092423">
              <w:marLeft w:val="0"/>
              <w:marRight w:val="0"/>
              <w:marTop w:val="0"/>
              <w:marBottom w:val="0"/>
              <w:divBdr>
                <w:top w:val="none" w:sz="0" w:space="0" w:color="auto"/>
                <w:left w:val="none" w:sz="0" w:space="0" w:color="auto"/>
                <w:bottom w:val="none" w:sz="0" w:space="0" w:color="auto"/>
                <w:right w:val="none" w:sz="0" w:space="0" w:color="auto"/>
              </w:divBdr>
              <w:divsChild>
                <w:div w:id="861355574">
                  <w:marLeft w:val="0"/>
                  <w:marRight w:val="0"/>
                  <w:marTop w:val="0"/>
                  <w:marBottom w:val="0"/>
                  <w:divBdr>
                    <w:top w:val="none" w:sz="0" w:space="0" w:color="auto"/>
                    <w:left w:val="none" w:sz="0" w:space="0" w:color="auto"/>
                    <w:bottom w:val="none" w:sz="0" w:space="0" w:color="auto"/>
                    <w:right w:val="none" w:sz="0" w:space="0" w:color="auto"/>
                  </w:divBdr>
                  <w:divsChild>
                    <w:div w:id="220135475">
                      <w:marLeft w:val="0"/>
                      <w:marRight w:val="0"/>
                      <w:marTop w:val="0"/>
                      <w:marBottom w:val="0"/>
                      <w:divBdr>
                        <w:top w:val="none" w:sz="0" w:space="0" w:color="auto"/>
                        <w:left w:val="none" w:sz="0" w:space="0" w:color="auto"/>
                        <w:bottom w:val="none" w:sz="0" w:space="0" w:color="auto"/>
                        <w:right w:val="none" w:sz="0" w:space="0" w:color="auto"/>
                      </w:divBdr>
                      <w:divsChild>
                        <w:div w:id="1030229837">
                          <w:marLeft w:val="0"/>
                          <w:marRight w:val="0"/>
                          <w:marTop w:val="0"/>
                          <w:marBottom w:val="0"/>
                          <w:divBdr>
                            <w:top w:val="none" w:sz="0" w:space="0" w:color="auto"/>
                            <w:left w:val="none" w:sz="0" w:space="0" w:color="auto"/>
                            <w:bottom w:val="none" w:sz="0" w:space="0" w:color="auto"/>
                            <w:right w:val="none" w:sz="0" w:space="0" w:color="auto"/>
                          </w:divBdr>
                          <w:divsChild>
                            <w:div w:id="1166631094">
                              <w:marLeft w:val="0"/>
                              <w:marRight w:val="0"/>
                              <w:marTop w:val="0"/>
                              <w:marBottom w:val="0"/>
                              <w:divBdr>
                                <w:top w:val="none" w:sz="0" w:space="0" w:color="auto"/>
                                <w:left w:val="none" w:sz="0" w:space="0" w:color="auto"/>
                                <w:bottom w:val="none" w:sz="0" w:space="0" w:color="auto"/>
                                <w:right w:val="none" w:sz="0" w:space="0" w:color="auto"/>
                              </w:divBdr>
                              <w:divsChild>
                                <w:div w:id="1458836323">
                                  <w:marLeft w:val="0"/>
                                  <w:marRight w:val="0"/>
                                  <w:marTop w:val="0"/>
                                  <w:marBottom w:val="0"/>
                                  <w:divBdr>
                                    <w:top w:val="none" w:sz="0" w:space="0" w:color="auto"/>
                                    <w:left w:val="none" w:sz="0" w:space="0" w:color="auto"/>
                                    <w:bottom w:val="none" w:sz="0" w:space="0" w:color="auto"/>
                                    <w:right w:val="none" w:sz="0" w:space="0" w:color="auto"/>
                                  </w:divBdr>
                                  <w:divsChild>
                                    <w:div w:id="769425089">
                                      <w:marLeft w:val="0"/>
                                      <w:marRight w:val="0"/>
                                      <w:marTop w:val="0"/>
                                      <w:marBottom w:val="0"/>
                                      <w:divBdr>
                                        <w:top w:val="none" w:sz="0" w:space="0" w:color="auto"/>
                                        <w:left w:val="none" w:sz="0" w:space="0" w:color="auto"/>
                                        <w:bottom w:val="none" w:sz="0" w:space="0" w:color="auto"/>
                                        <w:right w:val="none" w:sz="0" w:space="0" w:color="auto"/>
                                      </w:divBdr>
                                      <w:divsChild>
                                        <w:div w:id="87890170">
                                          <w:marLeft w:val="0"/>
                                          <w:marRight w:val="0"/>
                                          <w:marTop w:val="0"/>
                                          <w:marBottom w:val="0"/>
                                          <w:divBdr>
                                            <w:top w:val="none" w:sz="0" w:space="0" w:color="auto"/>
                                            <w:left w:val="none" w:sz="0" w:space="0" w:color="auto"/>
                                            <w:bottom w:val="none" w:sz="0" w:space="0" w:color="auto"/>
                                            <w:right w:val="none" w:sz="0" w:space="0" w:color="auto"/>
                                          </w:divBdr>
                                          <w:divsChild>
                                            <w:div w:id="206647263">
                                              <w:marLeft w:val="0"/>
                                              <w:marRight w:val="0"/>
                                              <w:marTop w:val="0"/>
                                              <w:marBottom w:val="0"/>
                                              <w:divBdr>
                                                <w:top w:val="none" w:sz="0" w:space="0" w:color="auto"/>
                                                <w:left w:val="none" w:sz="0" w:space="0" w:color="auto"/>
                                                <w:bottom w:val="none" w:sz="0" w:space="0" w:color="auto"/>
                                                <w:right w:val="none" w:sz="0" w:space="0" w:color="auto"/>
                                              </w:divBdr>
                                              <w:divsChild>
                                                <w:div w:id="107081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nb.bg/BankSupervision/BSCapitalBuffers/BSCBCountercyclical/index.htm?toLang=_EN&amp;toLang=_E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D4EC6-13CB-4A77-80AA-1F5832A14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577</Words>
  <Characters>3292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ДОКЛАДНА ЗАПИСКА ДО УПРАВИТЕЛНИЯ СЪВЕТ</vt:lpstr>
    </vt:vector>
  </TitlesOfParts>
  <Company>Българска народна банка</Company>
  <LinksUpToDate>false</LinksUpToDate>
  <CharactersWithSpaces>3862</CharactersWithSpaces>
  <SharedDoc>false</SharedDoc>
  <HLinks>
    <vt:vector size="6" baseType="variant">
      <vt:variant>
        <vt:i4>7274539</vt:i4>
      </vt:variant>
      <vt:variant>
        <vt:i4>1024</vt:i4>
      </vt:variant>
      <vt:variant>
        <vt:i4>1025</vt:i4>
      </vt:variant>
      <vt:variant>
        <vt:i4>1</vt:i4>
      </vt:variant>
      <vt:variant>
        <vt:lpwstr>!s5-7,9-10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ДОКЛАДНА ЗАПИСКА ДО УПРАВИТЕЛНИЯ СЪВЕТ</dc:title>
  <dc:creator>Стефан Кръстанов</dc:creator>
  <cp:lastModifiedBy>Биляна Борисова</cp:lastModifiedBy>
  <cp:revision>5</cp:revision>
  <cp:lastPrinted>2016-03-16T14:20:00Z</cp:lastPrinted>
  <dcterms:created xsi:type="dcterms:W3CDTF">2023-09-26T10:53:00Z</dcterms:created>
  <dcterms:modified xsi:type="dcterms:W3CDTF">2023-09-26T13:31:00Z</dcterms:modified>
</cp:coreProperties>
</file>