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1220" w:rsidRPr="004B06BA" w:rsidRDefault="000F1220" w:rsidP="000F1220">
      <w:pPr>
        <w:pStyle w:val="01-PRESSRELEASE"/>
      </w:pPr>
      <w:r w:rsidRPr="004B06BA">
        <w:t>ПРЕССЪОБЩЕНИЕ</w:t>
      </w:r>
    </w:p>
    <w:p w:rsidR="007E2E35" w:rsidRPr="000F1220" w:rsidRDefault="000F1220" w:rsidP="000F1220">
      <w:pPr>
        <w:pStyle w:val="02-DATE"/>
      </w:pPr>
      <w:r>
        <w:rPr>
          <w:lang w:val="en-US"/>
        </w:rPr>
        <w:t xml:space="preserve">24 </w:t>
      </w:r>
      <w:r>
        <w:t>септември 2024 г.</w:t>
      </w:r>
    </w:p>
    <w:p w:rsidR="009E28AC" w:rsidRDefault="009E28AC" w:rsidP="009E28AC">
      <w:pPr>
        <w:pStyle w:val="04-TEXTFIRST"/>
      </w:pPr>
      <w:r>
        <w:t xml:space="preserve">Управителният съвет на БНБ определи нивото на </w:t>
      </w:r>
      <w:proofErr w:type="spellStart"/>
      <w:r>
        <w:t>антицикличния</w:t>
      </w:r>
      <w:proofErr w:type="spellEnd"/>
      <w:r>
        <w:t xml:space="preserve"> капиталов буфер, приложим към кредитни рискови експозиции в Република България, на 2.0% през четвъртото тримесечие на 2025 г., на основата на оценка по чл. 5, ал. 3 и ал. 4 от Наредба № 8 на БНБ за капиталовите буфери, комбинираното изискване за буфер, ограниченията върху разпределенията и препоръката за допълнителен собствен капитал. </w:t>
      </w:r>
    </w:p>
    <w:p w:rsidR="009E28AC" w:rsidRDefault="009E28AC" w:rsidP="000F1220">
      <w:pPr>
        <w:pStyle w:val="05-TEXT"/>
      </w:pPr>
      <w:r>
        <w:t xml:space="preserve">Съгласно чл. 5, ал. 3 от Наредба № 8 на БНБ, при оценката за нивото на </w:t>
      </w:r>
      <w:proofErr w:type="spellStart"/>
      <w:r>
        <w:t>антицикличния</w:t>
      </w:r>
      <w:proofErr w:type="spellEnd"/>
      <w:r>
        <w:t xml:space="preserve"> буфер се отчитат както референтният индикатор по чл. 5, ал. 1, така и съответните насоки на Европейския съвет за системен риск (ЕССР) и други показатели, които БНБ е преценила за подходящи за отразяване на цикличния системен риск. По отношение на данните, свързани с референтния индикатор, към края на второто тримесечие на 2024 г. съотношението кредит/БВП, изчислено според публикуваната на интернет страницата на Българската народна банка методология, възлиза на 77.1%. Отклонението на показателя от дългосрочния тренд е отрицателно (-26.8 процентни пункта), което съответства на нулева стойност на референтния индикатор за </w:t>
      </w:r>
      <w:proofErr w:type="spellStart"/>
      <w:r>
        <w:t>антицикличния</w:t>
      </w:r>
      <w:proofErr w:type="spellEnd"/>
      <w:r>
        <w:t xml:space="preserve"> буфер.</w:t>
      </w:r>
    </w:p>
    <w:p w:rsidR="009E28AC" w:rsidRDefault="009E28AC" w:rsidP="000F1220">
      <w:pPr>
        <w:pStyle w:val="05-TEXT"/>
      </w:pPr>
      <w:r w:rsidRPr="000F1220">
        <w:rPr>
          <w:rStyle w:val="05-TEXTCharChar"/>
        </w:rPr>
        <w:t xml:space="preserve">Тъй като стандартният показател за отклонението на съотношението кредит/БВП от дългосрочния тренд не отразява адекватно тенденциите в цикличните рискове, при оценката за нивото на </w:t>
      </w:r>
      <w:proofErr w:type="spellStart"/>
      <w:r w:rsidRPr="000F1220">
        <w:rPr>
          <w:rStyle w:val="05-TEXTCharChar"/>
        </w:rPr>
        <w:t>антицикличния</w:t>
      </w:r>
      <w:proofErr w:type="spellEnd"/>
      <w:r w:rsidRPr="000F1220">
        <w:rPr>
          <w:rStyle w:val="05-TEXTCharChar"/>
        </w:rPr>
        <w:t xml:space="preserve"> буфер се вземат под внимание и допълнителни индикатори, фокусирани върху кредитния пазар, задлъжня</w:t>
      </w:r>
      <w:r>
        <w:t>лостта, пазара на недвижими имоти, както и общото състояние на икономическата среда.</w:t>
      </w:r>
    </w:p>
    <w:p w:rsidR="009E28AC" w:rsidRDefault="009E28AC" w:rsidP="000F1220">
      <w:pPr>
        <w:pStyle w:val="05-TEXT"/>
      </w:pPr>
      <w:r>
        <w:t xml:space="preserve">Кредитната активност в сектора на домакинствата се запазва висока, особено в сегмента на жилищните кредити. Както бе посочено в </w:t>
      </w:r>
      <w:proofErr w:type="spellStart"/>
      <w:r>
        <w:t>прессъобщението</w:t>
      </w:r>
      <w:proofErr w:type="spellEnd"/>
      <w:r>
        <w:t xml:space="preserve"> за решението на УС на БНБ относно влизащите в сила от 1 октомври 2024 г. изисквания към кредитните стандарти при отпускане и предоговаряне на кредити, обезпечени с жилищни недвижими имоти, </w:t>
      </w:r>
      <w:r w:rsidR="00B941E1">
        <w:t>определени</w:t>
      </w:r>
      <w:r>
        <w:t xml:space="preserve"> индикатори сигнализират за потенциално натрупване на средносрочни рискове за банковата система (ускоряващ се кредитен растеж, ценови тенденции на пазара на жилища, увеличаващ се среден размер на кредитите, зони на уязвимост по линия на съвкупността от кредити в интервалите с относително по-високо съотношение на кредита към стойността на обезпечението и с относително по-висока дългова тежест и задлъжнялост на кредитополучателите). Въвеждането на изисквания към нивата на кредитните стандарти и предхождащите го разработване на количествена методология за оценка на риска (карта на риска), регулярен механизъм на наблюдение и отчетност, подкрепят стабилността на банковата система. Те нямат възпиращ кредитната дейност характер, а следват надзорния подход на БНБ за висока консервативност и общата практика на </w:t>
      </w:r>
      <w:proofErr w:type="spellStart"/>
      <w:r>
        <w:t>макропруденциални</w:t>
      </w:r>
      <w:proofErr w:type="spellEnd"/>
      <w:r>
        <w:t xml:space="preserve"> мерки, приложена в страните от ЕС.</w:t>
      </w:r>
    </w:p>
    <w:p w:rsidR="00ED4D84" w:rsidRDefault="009E28AC" w:rsidP="000F1220">
      <w:pPr>
        <w:pStyle w:val="05-TEXT"/>
      </w:pPr>
      <w:r>
        <w:t xml:space="preserve">Като част от цялостния набор инструменти в мандата на БНБ, изискванията за капиталови буфери са от съществено значение за поддържането на устойчивостта на банковия сектор при потенциални неблагоприятни тенденции в качеството на кредитния портфейл. През 2021 г. УС на БНБ повиши </w:t>
      </w:r>
      <w:r>
        <w:lastRenderedPageBreak/>
        <w:t xml:space="preserve">нивото на </w:t>
      </w:r>
      <w:proofErr w:type="spellStart"/>
      <w:r>
        <w:t>антицикличния</w:t>
      </w:r>
      <w:proofErr w:type="spellEnd"/>
      <w:r>
        <w:t xml:space="preserve"> буфер, приложим към местни кредитни рискови експозиции, на 1.0% от 1 октомври 2022 г. и на 1.5% от 1 януари 2023 г., като  през септември 2022 г. нивото на </w:t>
      </w:r>
      <w:proofErr w:type="spellStart"/>
      <w:r>
        <w:t>антицикличния</w:t>
      </w:r>
      <w:proofErr w:type="spellEnd"/>
      <w:r>
        <w:t xml:space="preserve"> капиталов буфер бе увеличено допълнително на 2.0% в сила от 1 октомври 2023 г. Предвид трайно запазилите се високи темпове на кредитен растеж и несигурността в икономическата среда, </w:t>
      </w:r>
      <w:proofErr w:type="spellStart"/>
      <w:r>
        <w:t>антицикличният</w:t>
      </w:r>
      <w:proofErr w:type="spellEnd"/>
      <w:r>
        <w:t xml:space="preserve"> капиталов буф</w:t>
      </w:r>
      <w:bookmarkStart w:id="0" w:name="_GoBack"/>
      <w:bookmarkEnd w:id="0"/>
      <w:r>
        <w:t>ер на ниво от 2.0% през четвъртото тримесечие на 2025 г. има за цел да засили устойчивостта на банковата система при натиск върху доходността и капиталовата позиция, предизвикан от потенциално нарастване на необслужваните кредити и обезценките.</w:t>
      </w:r>
    </w:p>
    <w:p w:rsidR="00B941AD" w:rsidRPr="005103D0" w:rsidRDefault="0085669D" w:rsidP="0038249A">
      <w:pPr>
        <w:pStyle w:val="04-TEXTFIRST"/>
      </w:pPr>
      <w:r w:rsidRPr="0085669D">
        <w:t xml:space="preserve">Допълнителна информация за използваната методология и </w:t>
      </w:r>
      <w:r w:rsidR="00AF4318">
        <w:t>предишните</w:t>
      </w:r>
      <w:r w:rsidR="00AF4318" w:rsidRPr="0085669D">
        <w:t xml:space="preserve"> </w:t>
      </w:r>
      <w:r w:rsidRPr="0085669D">
        <w:t xml:space="preserve">решения </w:t>
      </w:r>
      <w:r w:rsidR="00AF4318">
        <w:t xml:space="preserve">за </w:t>
      </w:r>
      <w:proofErr w:type="spellStart"/>
      <w:r w:rsidR="00AF4318">
        <w:t>антицикличния</w:t>
      </w:r>
      <w:proofErr w:type="spellEnd"/>
      <w:r w:rsidR="00AF4318">
        <w:t xml:space="preserve"> капиталов буфер </w:t>
      </w:r>
      <w:r w:rsidRPr="0085669D">
        <w:t>може да се намери в раздел „</w:t>
      </w:r>
      <w:hyperlink r:id="rId8" w:history="1">
        <w:r w:rsidR="00C75245" w:rsidRPr="00E0176E">
          <w:rPr>
            <w:rStyle w:val="Hyperlink"/>
            <w:rFonts w:cs="Arial"/>
            <w:color w:val="FF0000"/>
          </w:rPr>
          <w:t>Капиталови буфери</w:t>
        </w:r>
      </w:hyperlink>
      <w:r w:rsidRPr="0085669D">
        <w:t>“.</w:t>
      </w:r>
    </w:p>
    <w:sectPr w:rsidR="00B941AD" w:rsidRPr="005103D0" w:rsidSect="00687A29">
      <w:headerReference w:type="default" r:id="rId9"/>
      <w:footerReference w:type="default" r:id="rId10"/>
      <w:headerReference w:type="first" r:id="rId11"/>
      <w:pgSz w:w="11906" w:h="16838" w:code="9"/>
      <w:pgMar w:top="1438" w:right="851" w:bottom="1440" w:left="1418" w:header="357" w:footer="563"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11BB" w:rsidRDefault="004611BB">
      <w:r>
        <w:separator/>
      </w:r>
    </w:p>
  </w:endnote>
  <w:endnote w:type="continuationSeparator" w:id="0">
    <w:p w:rsidR="004611BB" w:rsidRDefault="00461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A29" w:rsidRDefault="00687A29" w:rsidP="00687A29">
    <w:pPr>
      <w:pStyle w:val="Footer"/>
      <w:jc w:val="right"/>
    </w:pPr>
    <w:r>
      <w:t xml:space="preserve">с. </w:t>
    </w:r>
    <w:r>
      <w:fldChar w:fldCharType="begin"/>
    </w:r>
    <w:r>
      <w:instrText xml:space="preserve"> PAGE   \* MERGEFORMAT </w:instrText>
    </w:r>
    <w:r>
      <w:fldChar w:fldCharType="separate"/>
    </w:r>
    <w:r w:rsidR="000F1220">
      <w:rPr>
        <w:noProof/>
      </w:rPr>
      <w:t>2</w:t>
    </w:r>
    <w:r>
      <w:fldChar w:fldCharType="end"/>
    </w:r>
    <w:r>
      <w:t>/</w:t>
    </w:r>
    <w:r w:rsidR="0038249A">
      <w:rPr>
        <w:noProof/>
      </w:rPr>
      <w:fldChar w:fldCharType="begin"/>
    </w:r>
    <w:r w:rsidR="0038249A">
      <w:rPr>
        <w:noProof/>
      </w:rPr>
      <w:instrText xml:space="preserve"> NUMPAGES   \* MERGEFORMAT </w:instrText>
    </w:r>
    <w:r w:rsidR="0038249A">
      <w:rPr>
        <w:noProof/>
      </w:rPr>
      <w:fldChar w:fldCharType="separate"/>
    </w:r>
    <w:r w:rsidR="000F1220">
      <w:rPr>
        <w:noProof/>
      </w:rPr>
      <w:t>2</w:t>
    </w:r>
    <w:r w:rsidR="0038249A">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11BB" w:rsidRDefault="004611BB">
      <w:r>
        <w:separator/>
      </w:r>
    </w:p>
  </w:footnote>
  <w:footnote w:type="continuationSeparator" w:id="0">
    <w:p w:rsidR="004611BB" w:rsidRDefault="004611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333" w:rsidRDefault="002F2333">
    <w:pPr>
      <w:pStyle w:val="Header"/>
      <w:tabs>
        <w:tab w:val="center" w:pos="-180"/>
      </w:tabs>
      <w:jc w:val="cent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1220" w:rsidRDefault="000F1220">
    <w:pPr>
      <w:pStyle w:val="Header"/>
    </w:pPr>
    <w:r>
      <w:rPr>
        <w:noProof/>
      </w:rPr>
      <w:drawing>
        <wp:inline distT="0" distB="0" distL="0" distR="0" wp14:anchorId="13942C4F" wp14:editId="36748EA5">
          <wp:extent cx="6119495" cy="107823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NB_logo_PR_2024_B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19495" cy="107823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EB1A0A"/>
    <w:multiLevelType w:val="multilevel"/>
    <w:tmpl w:val="040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14E728A"/>
    <w:multiLevelType w:val="hybridMultilevel"/>
    <w:tmpl w:val="EC18FAFE"/>
    <w:lvl w:ilvl="0" w:tplc="0402000F">
      <w:start w:val="1"/>
      <w:numFmt w:val="decimal"/>
      <w:lvlText w:val="%1."/>
      <w:lvlJc w:val="left"/>
      <w:pPr>
        <w:ind w:left="1287" w:hanging="360"/>
      </w:pPr>
    </w:lvl>
    <w:lvl w:ilvl="1" w:tplc="04020019" w:tentative="1">
      <w:start w:val="1"/>
      <w:numFmt w:val="lowerLetter"/>
      <w:lvlText w:val="%2."/>
      <w:lvlJc w:val="left"/>
      <w:pPr>
        <w:ind w:left="2007" w:hanging="360"/>
      </w:pPr>
    </w:lvl>
    <w:lvl w:ilvl="2" w:tplc="0402001B" w:tentative="1">
      <w:start w:val="1"/>
      <w:numFmt w:val="lowerRoman"/>
      <w:lvlText w:val="%3."/>
      <w:lvlJc w:val="right"/>
      <w:pPr>
        <w:ind w:left="2727" w:hanging="180"/>
      </w:pPr>
    </w:lvl>
    <w:lvl w:ilvl="3" w:tplc="0402000F" w:tentative="1">
      <w:start w:val="1"/>
      <w:numFmt w:val="decimal"/>
      <w:lvlText w:val="%4."/>
      <w:lvlJc w:val="left"/>
      <w:pPr>
        <w:ind w:left="3447" w:hanging="360"/>
      </w:pPr>
    </w:lvl>
    <w:lvl w:ilvl="4" w:tplc="04020019" w:tentative="1">
      <w:start w:val="1"/>
      <w:numFmt w:val="lowerLetter"/>
      <w:lvlText w:val="%5."/>
      <w:lvlJc w:val="left"/>
      <w:pPr>
        <w:ind w:left="4167" w:hanging="360"/>
      </w:pPr>
    </w:lvl>
    <w:lvl w:ilvl="5" w:tplc="0402001B" w:tentative="1">
      <w:start w:val="1"/>
      <w:numFmt w:val="lowerRoman"/>
      <w:lvlText w:val="%6."/>
      <w:lvlJc w:val="right"/>
      <w:pPr>
        <w:ind w:left="4887" w:hanging="180"/>
      </w:pPr>
    </w:lvl>
    <w:lvl w:ilvl="6" w:tplc="0402000F" w:tentative="1">
      <w:start w:val="1"/>
      <w:numFmt w:val="decimal"/>
      <w:lvlText w:val="%7."/>
      <w:lvlJc w:val="left"/>
      <w:pPr>
        <w:ind w:left="5607" w:hanging="360"/>
      </w:pPr>
    </w:lvl>
    <w:lvl w:ilvl="7" w:tplc="04020019" w:tentative="1">
      <w:start w:val="1"/>
      <w:numFmt w:val="lowerLetter"/>
      <w:lvlText w:val="%8."/>
      <w:lvlJc w:val="left"/>
      <w:pPr>
        <w:ind w:left="6327" w:hanging="360"/>
      </w:pPr>
    </w:lvl>
    <w:lvl w:ilvl="8" w:tplc="0402001B" w:tentative="1">
      <w:start w:val="1"/>
      <w:numFmt w:val="lowerRoman"/>
      <w:lvlText w:val="%9."/>
      <w:lvlJc w:val="right"/>
      <w:pPr>
        <w:ind w:left="7047" w:hanging="180"/>
      </w:pPr>
    </w:lvl>
  </w:abstractNum>
  <w:abstractNum w:abstractNumId="2" w15:restartNumberingAfterBreak="0">
    <w:nsid w:val="590321AD"/>
    <w:multiLevelType w:val="hybridMultilevel"/>
    <w:tmpl w:val="0BE4A8A6"/>
    <w:lvl w:ilvl="0" w:tplc="6096CAF0">
      <w:start w:val="1"/>
      <w:numFmt w:val="decimal"/>
      <w:lvlText w:val="%1."/>
      <w:lvlJc w:val="left"/>
      <w:pPr>
        <w:ind w:left="1211" w:hanging="360"/>
      </w:pPr>
      <w:rPr>
        <w:rFonts w:hint="default"/>
      </w:rPr>
    </w:lvl>
    <w:lvl w:ilvl="1" w:tplc="0402000F">
      <w:start w:val="1"/>
      <w:numFmt w:val="decimal"/>
      <w:lvlText w:val="%2."/>
      <w:lvlJc w:val="left"/>
      <w:pPr>
        <w:ind w:left="1931" w:hanging="360"/>
      </w:pPr>
    </w:lvl>
    <w:lvl w:ilvl="2" w:tplc="0402001B" w:tentative="1">
      <w:start w:val="1"/>
      <w:numFmt w:val="lowerRoman"/>
      <w:lvlText w:val="%3."/>
      <w:lvlJc w:val="right"/>
      <w:pPr>
        <w:ind w:left="2651" w:hanging="180"/>
      </w:pPr>
    </w:lvl>
    <w:lvl w:ilvl="3" w:tplc="0402000F" w:tentative="1">
      <w:start w:val="1"/>
      <w:numFmt w:val="decimal"/>
      <w:lvlText w:val="%4."/>
      <w:lvlJc w:val="left"/>
      <w:pPr>
        <w:ind w:left="3371" w:hanging="360"/>
      </w:pPr>
    </w:lvl>
    <w:lvl w:ilvl="4" w:tplc="04020019" w:tentative="1">
      <w:start w:val="1"/>
      <w:numFmt w:val="lowerLetter"/>
      <w:lvlText w:val="%5."/>
      <w:lvlJc w:val="left"/>
      <w:pPr>
        <w:ind w:left="4091" w:hanging="360"/>
      </w:pPr>
    </w:lvl>
    <w:lvl w:ilvl="5" w:tplc="0402001B" w:tentative="1">
      <w:start w:val="1"/>
      <w:numFmt w:val="lowerRoman"/>
      <w:lvlText w:val="%6."/>
      <w:lvlJc w:val="right"/>
      <w:pPr>
        <w:ind w:left="4811" w:hanging="180"/>
      </w:pPr>
    </w:lvl>
    <w:lvl w:ilvl="6" w:tplc="0402000F" w:tentative="1">
      <w:start w:val="1"/>
      <w:numFmt w:val="decimal"/>
      <w:lvlText w:val="%7."/>
      <w:lvlJc w:val="left"/>
      <w:pPr>
        <w:ind w:left="5531" w:hanging="360"/>
      </w:pPr>
    </w:lvl>
    <w:lvl w:ilvl="7" w:tplc="04020019" w:tentative="1">
      <w:start w:val="1"/>
      <w:numFmt w:val="lowerLetter"/>
      <w:lvlText w:val="%8."/>
      <w:lvlJc w:val="left"/>
      <w:pPr>
        <w:ind w:left="6251" w:hanging="360"/>
      </w:pPr>
    </w:lvl>
    <w:lvl w:ilvl="8" w:tplc="0402001B" w:tentative="1">
      <w:start w:val="1"/>
      <w:numFmt w:val="lowerRoman"/>
      <w:lvlText w:val="%9."/>
      <w:lvlJc w:val="right"/>
      <w:pPr>
        <w:ind w:left="6971"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F94"/>
    <w:rsid w:val="00000CEF"/>
    <w:rsid w:val="000015C1"/>
    <w:rsid w:val="00001C2C"/>
    <w:rsid w:val="000118DE"/>
    <w:rsid w:val="000175E1"/>
    <w:rsid w:val="00017BB8"/>
    <w:rsid w:val="00031CCD"/>
    <w:rsid w:val="000370BB"/>
    <w:rsid w:val="00055956"/>
    <w:rsid w:val="000569CA"/>
    <w:rsid w:val="00070163"/>
    <w:rsid w:val="0007347A"/>
    <w:rsid w:val="00074320"/>
    <w:rsid w:val="00080AC8"/>
    <w:rsid w:val="00091EF0"/>
    <w:rsid w:val="0009698F"/>
    <w:rsid w:val="000A171A"/>
    <w:rsid w:val="000A1B43"/>
    <w:rsid w:val="000A630B"/>
    <w:rsid w:val="000A7A84"/>
    <w:rsid w:val="000B0125"/>
    <w:rsid w:val="000B1FAA"/>
    <w:rsid w:val="000B7049"/>
    <w:rsid w:val="000D2FA8"/>
    <w:rsid w:val="000E0E61"/>
    <w:rsid w:val="000E4172"/>
    <w:rsid w:val="000E5100"/>
    <w:rsid w:val="000E67D6"/>
    <w:rsid w:val="000E7DC9"/>
    <w:rsid w:val="000F1220"/>
    <w:rsid w:val="000F5F5C"/>
    <w:rsid w:val="0010486F"/>
    <w:rsid w:val="001104F6"/>
    <w:rsid w:val="00113DED"/>
    <w:rsid w:val="00117B34"/>
    <w:rsid w:val="001236F4"/>
    <w:rsid w:val="001245DD"/>
    <w:rsid w:val="00132224"/>
    <w:rsid w:val="00140A54"/>
    <w:rsid w:val="00150D0D"/>
    <w:rsid w:val="0016405B"/>
    <w:rsid w:val="00166267"/>
    <w:rsid w:val="0017255D"/>
    <w:rsid w:val="001727E3"/>
    <w:rsid w:val="00174AA8"/>
    <w:rsid w:val="00174C23"/>
    <w:rsid w:val="0017593C"/>
    <w:rsid w:val="00182C03"/>
    <w:rsid w:val="0018306F"/>
    <w:rsid w:val="001A33ED"/>
    <w:rsid w:val="001A3737"/>
    <w:rsid w:val="001C3DBD"/>
    <w:rsid w:val="001D60D7"/>
    <w:rsid w:val="001E79AA"/>
    <w:rsid w:val="001F7682"/>
    <w:rsid w:val="00202B49"/>
    <w:rsid w:val="00204597"/>
    <w:rsid w:val="002229F6"/>
    <w:rsid w:val="00224BE7"/>
    <w:rsid w:val="0023250B"/>
    <w:rsid w:val="0023543D"/>
    <w:rsid w:val="00237E29"/>
    <w:rsid w:val="002423D1"/>
    <w:rsid w:val="00242837"/>
    <w:rsid w:val="00256973"/>
    <w:rsid w:val="00264409"/>
    <w:rsid w:val="0026539C"/>
    <w:rsid w:val="00273A2F"/>
    <w:rsid w:val="00281BB1"/>
    <w:rsid w:val="002865E3"/>
    <w:rsid w:val="00293B15"/>
    <w:rsid w:val="002952A4"/>
    <w:rsid w:val="002A364F"/>
    <w:rsid w:val="002A44C2"/>
    <w:rsid w:val="002A46E6"/>
    <w:rsid w:val="002A7FD9"/>
    <w:rsid w:val="002C07DF"/>
    <w:rsid w:val="002C64D1"/>
    <w:rsid w:val="002D09AA"/>
    <w:rsid w:val="002D1825"/>
    <w:rsid w:val="002F2333"/>
    <w:rsid w:val="002F3BDE"/>
    <w:rsid w:val="002F5EA0"/>
    <w:rsid w:val="002F79F8"/>
    <w:rsid w:val="00300E6D"/>
    <w:rsid w:val="003037B3"/>
    <w:rsid w:val="0030496C"/>
    <w:rsid w:val="00305C99"/>
    <w:rsid w:val="00316376"/>
    <w:rsid w:val="0031780B"/>
    <w:rsid w:val="003209D9"/>
    <w:rsid w:val="003229CE"/>
    <w:rsid w:val="00335FAF"/>
    <w:rsid w:val="00336D6E"/>
    <w:rsid w:val="00343384"/>
    <w:rsid w:val="0035062A"/>
    <w:rsid w:val="00351995"/>
    <w:rsid w:val="00354F39"/>
    <w:rsid w:val="003561C0"/>
    <w:rsid w:val="00366630"/>
    <w:rsid w:val="003736B9"/>
    <w:rsid w:val="00376F0E"/>
    <w:rsid w:val="00380D75"/>
    <w:rsid w:val="0038249A"/>
    <w:rsid w:val="00382973"/>
    <w:rsid w:val="003840EC"/>
    <w:rsid w:val="003858EF"/>
    <w:rsid w:val="003A346A"/>
    <w:rsid w:val="003A36F5"/>
    <w:rsid w:val="003B13F0"/>
    <w:rsid w:val="003B1432"/>
    <w:rsid w:val="003B1E26"/>
    <w:rsid w:val="003B286A"/>
    <w:rsid w:val="003C2581"/>
    <w:rsid w:val="003C3388"/>
    <w:rsid w:val="003C74D2"/>
    <w:rsid w:val="003D390A"/>
    <w:rsid w:val="003D3A17"/>
    <w:rsid w:val="0040228D"/>
    <w:rsid w:val="00402EB9"/>
    <w:rsid w:val="00404510"/>
    <w:rsid w:val="00405B7C"/>
    <w:rsid w:val="004125F5"/>
    <w:rsid w:val="0042268B"/>
    <w:rsid w:val="00432D05"/>
    <w:rsid w:val="004339BA"/>
    <w:rsid w:val="00434538"/>
    <w:rsid w:val="00434D8C"/>
    <w:rsid w:val="004364FF"/>
    <w:rsid w:val="004413F3"/>
    <w:rsid w:val="0044409D"/>
    <w:rsid w:val="0044448C"/>
    <w:rsid w:val="00445459"/>
    <w:rsid w:val="00454111"/>
    <w:rsid w:val="004611BB"/>
    <w:rsid w:val="00461542"/>
    <w:rsid w:val="0047573B"/>
    <w:rsid w:val="004766F5"/>
    <w:rsid w:val="00480A27"/>
    <w:rsid w:val="00485291"/>
    <w:rsid w:val="00487754"/>
    <w:rsid w:val="00490E6F"/>
    <w:rsid w:val="004A0755"/>
    <w:rsid w:val="004A6384"/>
    <w:rsid w:val="004A6A1C"/>
    <w:rsid w:val="004B708A"/>
    <w:rsid w:val="004C03F7"/>
    <w:rsid w:val="004C232E"/>
    <w:rsid w:val="004C2686"/>
    <w:rsid w:val="004C4F90"/>
    <w:rsid w:val="004E082D"/>
    <w:rsid w:val="004E0A01"/>
    <w:rsid w:val="004E16B7"/>
    <w:rsid w:val="004E1849"/>
    <w:rsid w:val="004E6BA6"/>
    <w:rsid w:val="004F5B96"/>
    <w:rsid w:val="004F7B04"/>
    <w:rsid w:val="00500E8D"/>
    <w:rsid w:val="00503A4D"/>
    <w:rsid w:val="00504385"/>
    <w:rsid w:val="005103D0"/>
    <w:rsid w:val="0051128A"/>
    <w:rsid w:val="005202B6"/>
    <w:rsid w:val="005243DE"/>
    <w:rsid w:val="0052584B"/>
    <w:rsid w:val="0054731F"/>
    <w:rsid w:val="00547467"/>
    <w:rsid w:val="00551733"/>
    <w:rsid w:val="00552BDB"/>
    <w:rsid w:val="00554F6E"/>
    <w:rsid w:val="00560BBD"/>
    <w:rsid w:val="0057062E"/>
    <w:rsid w:val="00571C49"/>
    <w:rsid w:val="00577DA7"/>
    <w:rsid w:val="005861AF"/>
    <w:rsid w:val="005A0334"/>
    <w:rsid w:val="005A0FB1"/>
    <w:rsid w:val="005A45D4"/>
    <w:rsid w:val="005B2F92"/>
    <w:rsid w:val="005C1D78"/>
    <w:rsid w:val="005C7329"/>
    <w:rsid w:val="005D52B0"/>
    <w:rsid w:val="005E06E1"/>
    <w:rsid w:val="005E2224"/>
    <w:rsid w:val="005F4F94"/>
    <w:rsid w:val="005F7C50"/>
    <w:rsid w:val="00600078"/>
    <w:rsid w:val="006065BB"/>
    <w:rsid w:val="006170BA"/>
    <w:rsid w:val="006178A4"/>
    <w:rsid w:val="006209DB"/>
    <w:rsid w:val="00624703"/>
    <w:rsid w:val="0063341B"/>
    <w:rsid w:val="0063398D"/>
    <w:rsid w:val="00633B61"/>
    <w:rsid w:val="00633D4A"/>
    <w:rsid w:val="00637521"/>
    <w:rsid w:val="00641888"/>
    <w:rsid w:val="00664442"/>
    <w:rsid w:val="00664905"/>
    <w:rsid w:val="00677DB0"/>
    <w:rsid w:val="00681039"/>
    <w:rsid w:val="00683CCB"/>
    <w:rsid w:val="00687A29"/>
    <w:rsid w:val="006A4295"/>
    <w:rsid w:val="006A591C"/>
    <w:rsid w:val="006A6D8A"/>
    <w:rsid w:val="006A7D85"/>
    <w:rsid w:val="006B7D95"/>
    <w:rsid w:val="006C6C8F"/>
    <w:rsid w:val="006C6D49"/>
    <w:rsid w:val="006D4926"/>
    <w:rsid w:val="006E5A26"/>
    <w:rsid w:val="007032EB"/>
    <w:rsid w:val="007043A8"/>
    <w:rsid w:val="007103C3"/>
    <w:rsid w:val="00714528"/>
    <w:rsid w:val="00722A79"/>
    <w:rsid w:val="00723F97"/>
    <w:rsid w:val="00726425"/>
    <w:rsid w:val="0072745E"/>
    <w:rsid w:val="00730504"/>
    <w:rsid w:val="00737AD2"/>
    <w:rsid w:val="0074310D"/>
    <w:rsid w:val="007456CE"/>
    <w:rsid w:val="00753370"/>
    <w:rsid w:val="007544A7"/>
    <w:rsid w:val="007609C6"/>
    <w:rsid w:val="00775E58"/>
    <w:rsid w:val="00781960"/>
    <w:rsid w:val="00782D36"/>
    <w:rsid w:val="0078744E"/>
    <w:rsid w:val="007878DD"/>
    <w:rsid w:val="00790046"/>
    <w:rsid w:val="007922A5"/>
    <w:rsid w:val="007B0713"/>
    <w:rsid w:val="007C1920"/>
    <w:rsid w:val="007C1AB9"/>
    <w:rsid w:val="007C1C7B"/>
    <w:rsid w:val="007D1C75"/>
    <w:rsid w:val="007D6D69"/>
    <w:rsid w:val="007E2E35"/>
    <w:rsid w:val="007F6789"/>
    <w:rsid w:val="00805A95"/>
    <w:rsid w:val="008103C9"/>
    <w:rsid w:val="00826854"/>
    <w:rsid w:val="00840D63"/>
    <w:rsid w:val="00852F1A"/>
    <w:rsid w:val="0085669D"/>
    <w:rsid w:val="00874727"/>
    <w:rsid w:val="00882342"/>
    <w:rsid w:val="008832A5"/>
    <w:rsid w:val="00883C90"/>
    <w:rsid w:val="008A413F"/>
    <w:rsid w:val="008A4A03"/>
    <w:rsid w:val="008A684B"/>
    <w:rsid w:val="008A6B58"/>
    <w:rsid w:val="008B6E79"/>
    <w:rsid w:val="008B74DA"/>
    <w:rsid w:val="008D294B"/>
    <w:rsid w:val="008D3EED"/>
    <w:rsid w:val="008D5882"/>
    <w:rsid w:val="008D62A2"/>
    <w:rsid w:val="008D7622"/>
    <w:rsid w:val="008F3A90"/>
    <w:rsid w:val="009067F2"/>
    <w:rsid w:val="009069A4"/>
    <w:rsid w:val="009127FE"/>
    <w:rsid w:val="00913669"/>
    <w:rsid w:val="00920F24"/>
    <w:rsid w:val="00933E7B"/>
    <w:rsid w:val="00934D5F"/>
    <w:rsid w:val="00940E63"/>
    <w:rsid w:val="00946541"/>
    <w:rsid w:val="009468F2"/>
    <w:rsid w:val="00966968"/>
    <w:rsid w:val="0097350B"/>
    <w:rsid w:val="00986DF9"/>
    <w:rsid w:val="00993D3E"/>
    <w:rsid w:val="009947CF"/>
    <w:rsid w:val="009A2733"/>
    <w:rsid w:val="009A5514"/>
    <w:rsid w:val="009C1232"/>
    <w:rsid w:val="009E1CE1"/>
    <w:rsid w:val="009E28AC"/>
    <w:rsid w:val="009E6015"/>
    <w:rsid w:val="009F21E1"/>
    <w:rsid w:val="009F477F"/>
    <w:rsid w:val="00A02F75"/>
    <w:rsid w:val="00A13B4C"/>
    <w:rsid w:val="00A17184"/>
    <w:rsid w:val="00A30955"/>
    <w:rsid w:val="00A355F4"/>
    <w:rsid w:val="00A363EC"/>
    <w:rsid w:val="00A41B9D"/>
    <w:rsid w:val="00A452D0"/>
    <w:rsid w:val="00A46905"/>
    <w:rsid w:val="00A5000B"/>
    <w:rsid w:val="00A51DD0"/>
    <w:rsid w:val="00A520BA"/>
    <w:rsid w:val="00A52737"/>
    <w:rsid w:val="00A660B5"/>
    <w:rsid w:val="00A717EB"/>
    <w:rsid w:val="00A85466"/>
    <w:rsid w:val="00A865E4"/>
    <w:rsid w:val="00A93EA9"/>
    <w:rsid w:val="00A97AAA"/>
    <w:rsid w:val="00AA13EB"/>
    <w:rsid w:val="00AA4D8E"/>
    <w:rsid w:val="00AA6DFF"/>
    <w:rsid w:val="00AB15CA"/>
    <w:rsid w:val="00AC4C40"/>
    <w:rsid w:val="00AE08A0"/>
    <w:rsid w:val="00AE2828"/>
    <w:rsid w:val="00AF1F49"/>
    <w:rsid w:val="00AF3185"/>
    <w:rsid w:val="00AF4318"/>
    <w:rsid w:val="00B046BC"/>
    <w:rsid w:val="00B22A9B"/>
    <w:rsid w:val="00B36BF5"/>
    <w:rsid w:val="00B413FC"/>
    <w:rsid w:val="00B44D7E"/>
    <w:rsid w:val="00B527C2"/>
    <w:rsid w:val="00B5283C"/>
    <w:rsid w:val="00B54440"/>
    <w:rsid w:val="00B55A7D"/>
    <w:rsid w:val="00B56A62"/>
    <w:rsid w:val="00B627C5"/>
    <w:rsid w:val="00B6698C"/>
    <w:rsid w:val="00B67FBB"/>
    <w:rsid w:val="00B717F3"/>
    <w:rsid w:val="00B8639B"/>
    <w:rsid w:val="00B9155C"/>
    <w:rsid w:val="00B91D79"/>
    <w:rsid w:val="00B932A4"/>
    <w:rsid w:val="00B941AD"/>
    <w:rsid w:val="00B941E1"/>
    <w:rsid w:val="00B9756F"/>
    <w:rsid w:val="00BA3EED"/>
    <w:rsid w:val="00BC42B4"/>
    <w:rsid w:val="00BC4F2C"/>
    <w:rsid w:val="00BC5FDE"/>
    <w:rsid w:val="00BC6658"/>
    <w:rsid w:val="00BC6EA9"/>
    <w:rsid w:val="00BE3DA7"/>
    <w:rsid w:val="00C01B4F"/>
    <w:rsid w:val="00C112A1"/>
    <w:rsid w:val="00C118DD"/>
    <w:rsid w:val="00C13690"/>
    <w:rsid w:val="00C138C3"/>
    <w:rsid w:val="00C13E06"/>
    <w:rsid w:val="00C25F8C"/>
    <w:rsid w:val="00C27DAA"/>
    <w:rsid w:val="00C33017"/>
    <w:rsid w:val="00C34EBD"/>
    <w:rsid w:val="00C45384"/>
    <w:rsid w:val="00C46C4A"/>
    <w:rsid w:val="00C6690A"/>
    <w:rsid w:val="00C75245"/>
    <w:rsid w:val="00C771E3"/>
    <w:rsid w:val="00C82026"/>
    <w:rsid w:val="00C824B6"/>
    <w:rsid w:val="00C85120"/>
    <w:rsid w:val="00CA0597"/>
    <w:rsid w:val="00CB033F"/>
    <w:rsid w:val="00CB09F1"/>
    <w:rsid w:val="00CB369F"/>
    <w:rsid w:val="00CC2ED0"/>
    <w:rsid w:val="00CC3DBB"/>
    <w:rsid w:val="00CC7428"/>
    <w:rsid w:val="00CD4AA9"/>
    <w:rsid w:val="00CE3438"/>
    <w:rsid w:val="00CE3E2A"/>
    <w:rsid w:val="00CF22C1"/>
    <w:rsid w:val="00CF2823"/>
    <w:rsid w:val="00CF656C"/>
    <w:rsid w:val="00D0082F"/>
    <w:rsid w:val="00D0137E"/>
    <w:rsid w:val="00D0428D"/>
    <w:rsid w:val="00D11D2F"/>
    <w:rsid w:val="00D12263"/>
    <w:rsid w:val="00D229C1"/>
    <w:rsid w:val="00D27055"/>
    <w:rsid w:val="00D3447F"/>
    <w:rsid w:val="00D42119"/>
    <w:rsid w:val="00D433C8"/>
    <w:rsid w:val="00D475F4"/>
    <w:rsid w:val="00D5087B"/>
    <w:rsid w:val="00D56A0B"/>
    <w:rsid w:val="00D56EAE"/>
    <w:rsid w:val="00D60726"/>
    <w:rsid w:val="00D629DA"/>
    <w:rsid w:val="00D63521"/>
    <w:rsid w:val="00D64D55"/>
    <w:rsid w:val="00D66081"/>
    <w:rsid w:val="00D708D7"/>
    <w:rsid w:val="00D71895"/>
    <w:rsid w:val="00D718CF"/>
    <w:rsid w:val="00D73798"/>
    <w:rsid w:val="00D7623D"/>
    <w:rsid w:val="00D80D56"/>
    <w:rsid w:val="00D80F5A"/>
    <w:rsid w:val="00D857A7"/>
    <w:rsid w:val="00D91240"/>
    <w:rsid w:val="00D9250A"/>
    <w:rsid w:val="00D9329C"/>
    <w:rsid w:val="00D94809"/>
    <w:rsid w:val="00D96432"/>
    <w:rsid w:val="00D964B8"/>
    <w:rsid w:val="00DA0BB4"/>
    <w:rsid w:val="00DB4728"/>
    <w:rsid w:val="00DB68F6"/>
    <w:rsid w:val="00DC2AB4"/>
    <w:rsid w:val="00DD2B7B"/>
    <w:rsid w:val="00DD7677"/>
    <w:rsid w:val="00DD7E25"/>
    <w:rsid w:val="00DD7F25"/>
    <w:rsid w:val="00DE1AB9"/>
    <w:rsid w:val="00DE3347"/>
    <w:rsid w:val="00DE5FAE"/>
    <w:rsid w:val="00DE687A"/>
    <w:rsid w:val="00DE76DE"/>
    <w:rsid w:val="00E0175F"/>
    <w:rsid w:val="00E0176E"/>
    <w:rsid w:val="00E0401C"/>
    <w:rsid w:val="00E077C1"/>
    <w:rsid w:val="00E15DCD"/>
    <w:rsid w:val="00E16EF1"/>
    <w:rsid w:val="00E2056E"/>
    <w:rsid w:val="00E21DF5"/>
    <w:rsid w:val="00E27F8B"/>
    <w:rsid w:val="00E30C46"/>
    <w:rsid w:val="00E33F45"/>
    <w:rsid w:val="00E40C5D"/>
    <w:rsid w:val="00E42A1D"/>
    <w:rsid w:val="00E4384E"/>
    <w:rsid w:val="00E474F6"/>
    <w:rsid w:val="00E4775E"/>
    <w:rsid w:val="00E5447C"/>
    <w:rsid w:val="00E54A29"/>
    <w:rsid w:val="00E550D2"/>
    <w:rsid w:val="00E65B32"/>
    <w:rsid w:val="00E65D48"/>
    <w:rsid w:val="00E661EC"/>
    <w:rsid w:val="00E72CB1"/>
    <w:rsid w:val="00E7758F"/>
    <w:rsid w:val="00E81C6F"/>
    <w:rsid w:val="00EA57F0"/>
    <w:rsid w:val="00EA6103"/>
    <w:rsid w:val="00EB1DD9"/>
    <w:rsid w:val="00EC6035"/>
    <w:rsid w:val="00ED4805"/>
    <w:rsid w:val="00ED4D84"/>
    <w:rsid w:val="00EE5F74"/>
    <w:rsid w:val="00F0259D"/>
    <w:rsid w:val="00F05D1E"/>
    <w:rsid w:val="00F2557F"/>
    <w:rsid w:val="00F37006"/>
    <w:rsid w:val="00F434AD"/>
    <w:rsid w:val="00F45F8A"/>
    <w:rsid w:val="00F5016D"/>
    <w:rsid w:val="00F53BAC"/>
    <w:rsid w:val="00F55455"/>
    <w:rsid w:val="00F565D7"/>
    <w:rsid w:val="00F66F76"/>
    <w:rsid w:val="00F71D15"/>
    <w:rsid w:val="00F73804"/>
    <w:rsid w:val="00F7516F"/>
    <w:rsid w:val="00F75980"/>
    <w:rsid w:val="00F812FD"/>
    <w:rsid w:val="00F84449"/>
    <w:rsid w:val="00F84BF9"/>
    <w:rsid w:val="00FA0FAA"/>
    <w:rsid w:val="00FB634D"/>
    <w:rsid w:val="00FB7042"/>
    <w:rsid w:val="00FC009B"/>
    <w:rsid w:val="00FC66A2"/>
    <w:rsid w:val="00FC6BCA"/>
    <w:rsid w:val="00FD6789"/>
    <w:rsid w:val="00FE1589"/>
    <w:rsid w:val="00FE290A"/>
    <w:rsid w:val="00FE346B"/>
    <w:rsid w:val="00FE6C25"/>
    <w:rsid w:val="00FF10A2"/>
    <w:rsid w:val="00FF22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5DC6BFE4-CFF8-4C0B-A855-B29F64896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line="360" w:lineRule="auto"/>
      <w:ind w:firstLine="720"/>
      <w:jc w:val="both"/>
    </w:pPr>
    <w:rPr>
      <w:sz w:val="24"/>
      <w:lang w:val="bg-BG" w:eastAsia="bg-BG"/>
    </w:rPr>
  </w:style>
  <w:style w:type="paragraph" w:styleId="Heading1">
    <w:name w:val="heading 1"/>
    <w:basedOn w:val="Normal"/>
    <w:next w:val="Normal"/>
    <w:qFormat/>
    <w:pPr>
      <w:keepNext/>
      <w:keepLines/>
      <w:spacing w:before="240" w:after="60"/>
      <w:ind w:firstLine="0"/>
      <w:jc w:val="center"/>
      <w:outlineLvl w:val="0"/>
    </w:pPr>
    <w:rPr>
      <w:b/>
      <w:kern w:val="28"/>
      <w:sz w:val="28"/>
    </w:rPr>
  </w:style>
  <w:style w:type="paragraph" w:styleId="Heading2">
    <w:name w:val="heading 2"/>
    <w:basedOn w:val="Normal"/>
    <w:next w:val="Normal"/>
    <w:qFormat/>
    <w:pPr>
      <w:keepNext/>
      <w:keepLines/>
      <w:spacing w:before="240" w:after="60"/>
      <w:ind w:firstLine="0"/>
      <w:jc w:val="left"/>
      <w:outlineLvl w:val="1"/>
    </w:pPr>
    <w:rPr>
      <w:b/>
      <w:i/>
    </w:rPr>
  </w:style>
  <w:style w:type="paragraph" w:styleId="Heading3">
    <w:name w:val="heading 3"/>
    <w:basedOn w:val="Normal"/>
    <w:next w:val="Normal"/>
    <w:qFormat/>
    <w:pPr>
      <w:keepNext/>
      <w:spacing w:before="240" w:after="60"/>
      <w:ind w:firstLine="0"/>
      <w:jc w:val="lef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semiHidden/>
    <w:pPr>
      <w:tabs>
        <w:tab w:val="right" w:pos="10773"/>
      </w:tabs>
    </w:pPr>
    <w:rPr>
      <w:i/>
      <w:sz w:val="22"/>
      <w:lang w:val="bg-BG" w:eastAsia="bg-BG"/>
    </w:rPr>
  </w:style>
  <w:style w:type="paragraph" w:styleId="Footer">
    <w:name w:val="footer"/>
    <w:basedOn w:val="Header"/>
    <w:semiHidden/>
  </w:style>
  <w:style w:type="paragraph" w:styleId="BalloonText">
    <w:name w:val="Balloon Text"/>
    <w:basedOn w:val="Normal"/>
    <w:semiHidden/>
    <w:rPr>
      <w:rFonts w:ascii="Tahoma" w:hAnsi="Tahoma" w:cs="Tahoma"/>
      <w:sz w:val="16"/>
      <w:szCs w:val="16"/>
    </w:rPr>
  </w:style>
  <w:style w:type="character" w:customStyle="1" w:styleId="1">
    <w:name w:val="Основен текст1"/>
    <w:basedOn w:val="DefaultParagraphFont"/>
    <w:rPr>
      <w:rFonts w:ascii="Times New Roman" w:hAnsi="Times New Roman"/>
      <w:sz w:val="24"/>
    </w:rPr>
  </w:style>
  <w:style w:type="character" w:styleId="FootnoteReference">
    <w:name w:val="footnote reference"/>
    <w:basedOn w:val="DefaultParagraphFont"/>
    <w:semiHidden/>
    <w:rPr>
      <w:rFonts w:ascii="Times New Roman" w:hAnsi="Times New Roman"/>
      <w:sz w:val="18"/>
      <w:vertAlign w:val="superscript"/>
    </w:rPr>
  </w:style>
  <w:style w:type="paragraph" w:styleId="FootnoteText">
    <w:name w:val="footnote text"/>
    <w:semiHidden/>
    <w:pPr>
      <w:tabs>
        <w:tab w:val="left" w:pos="216"/>
      </w:tabs>
      <w:ind w:left="430" w:hanging="215"/>
    </w:pPr>
    <w:rPr>
      <w:lang w:val="bg-BG" w:eastAsia="bg-BG"/>
    </w:rPr>
  </w:style>
  <w:style w:type="paragraph" w:styleId="TOC1">
    <w:name w:val="toc 1"/>
    <w:next w:val="Normal"/>
    <w:semiHidden/>
    <w:pPr>
      <w:tabs>
        <w:tab w:val="right" w:leader="dot" w:pos="9638"/>
      </w:tabs>
      <w:spacing w:before="120"/>
    </w:pPr>
    <w:rPr>
      <w:rFonts w:ascii="Arial" w:hAnsi="Arial"/>
      <w:lang w:val="bg-BG" w:eastAsia="bg-BG"/>
    </w:rPr>
  </w:style>
  <w:style w:type="paragraph" w:styleId="TOC2">
    <w:name w:val="toc 2"/>
    <w:basedOn w:val="TOC1"/>
    <w:next w:val="Normal"/>
    <w:semiHidden/>
    <w:pPr>
      <w:spacing w:before="80"/>
      <w:ind w:left="238"/>
    </w:pPr>
  </w:style>
  <w:style w:type="paragraph" w:styleId="TOC3">
    <w:name w:val="toc 3"/>
    <w:basedOn w:val="TOC1"/>
    <w:next w:val="Normal"/>
    <w:semiHidden/>
    <w:pPr>
      <w:spacing w:before="40"/>
      <w:ind w:left="482"/>
    </w:pPr>
  </w:style>
  <w:style w:type="paragraph" w:styleId="TOC4">
    <w:name w:val="toc 4"/>
    <w:basedOn w:val="TOC1"/>
    <w:next w:val="Normal"/>
    <w:semiHidden/>
    <w:pPr>
      <w:spacing w:before="0"/>
      <w:ind w:left="720"/>
    </w:pPr>
  </w:style>
  <w:style w:type="paragraph" w:customStyle="1" w:styleId="a">
    <w:name w:val="БДС параграф"/>
    <w:pPr>
      <w:spacing w:line="480" w:lineRule="auto"/>
      <w:ind w:firstLine="720"/>
    </w:pPr>
    <w:rPr>
      <w:rFonts w:ascii="Arial" w:hAnsi="Arial"/>
      <w:sz w:val="24"/>
      <w:lang w:val="bg-BG" w:eastAsia="bg-BG"/>
    </w:rPr>
  </w:style>
  <w:style w:type="paragraph" w:customStyle="1" w:styleId="a0">
    <w:name w:val="Обикн. параграф"/>
    <w:basedOn w:val="Normal"/>
  </w:style>
  <w:style w:type="paragraph" w:customStyle="1" w:styleId="10">
    <w:name w:val="Заглавие 1 центрирано"/>
    <w:basedOn w:val="a0"/>
    <w:next w:val="a0"/>
    <w:pPr>
      <w:spacing w:before="240" w:after="60"/>
      <w:ind w:firstLine="0"/>
      <w:jc w:val="center"/>
    </w:pPr>
    <w:rPr>
      <w:b/>
      <w:sz w:val="28"/>
    </w:rPr>
  </w:style>
  <w:style w:type="paragraph" w:customStyle="1" w:styleId="11">
    <w:name w:val="Заглавие 1 ляво"/>
    <w:basedOn w:val="10"/>
    <w:next w:val="a0"/>
    <w:pPr>
      <w:jc w:val="left"/>
    </w:pPr>
  </w:style>
  <w:style w:type="paragraph" w:customStyle="1" w:styleId="2">
    <w:name w:val="Заглавие 2 центрирано"/>
    <w:basedOn w:val="10"/>
    <w:next w:val="a0"/>
    <w:rPr>
      <w:i/>
      <w:sz w:val="24"/>
    </w:rPr>
  </w:style>
  <w:style w:type="paragraph" w:customStyle="1" w:styleId="20">
    <w:name w:val="Заглавие 2 ляво"/>
    <w:basedOn w:val="2"/>
    <w:next w:val="a0"/>
    <w:pPr>
      <w:jc w:val="left"/>
    </w:pPr>
  </w:style>
  <w:style w:type="paragraph" w:customStyle="1" w:styleId="3">
    <w:name w:val="Заглавие 3 центрирано"/>
    <w:basedOn w:val="10"/>
    <w:next w:val="a0"/>
    <w:rPr>
      <w:sz w:val="24"/>
    </w:rPr>
  </w:style>
  <w:style w:type="paragraph" w:customStyle="1" w:styleId="30">
    <w:name w:val="Заглавие 3 ляво"/>
    <w:basedOn w:val="3"/>
    <w:next w:val="a0"/>
    <w:pPr>
      <w:jc w:val="left"/>
    </w:pPr>
  </w:style>
  <w:style w:type="paragraph" w:customStyle="1" w:styleId="a1">
    <w:name w:val="Заглавие на документа"/>
    <w:basedOn w:val="a0"/>
    <w:next w:val="a0"/>
    <w:pPr>
      <w:keepNext/>
      <w:keepLines/>
      <w:spacing w:before="0" w:after="960" w:line="480" w:lineRule="exact"/>
      <w:ind w:firstLine="0"/>
      <w:jc w:val="center"/>
    </w:pPr>
    <w:rPr>
      <w:b/>
      <w:sz w:val="32"/>
    </w:rPr>
  </w:style>
  <w:style w:type="paragraph" w:customStyle="1" w:styleId="a2">
    <w:name w:val="Обикн. пар. с продължение"/>
    <w:basedOn w:val="a0"/>
    <w:next w:val="a0"/>
    <w:pPr>
      <w:keepNext/>
    </w:pPr>
  </w:style>
  <w:style w:type="paragraph" w:customStyle="1" w:styleId="a3">
    <w:name w:val="Плътен параграф"/>
    <w:basedOn w:val="a0"/>
    <w:next w:val="a0"/>
    <w:pPr>
      <w:tabs>
        <w:tab w:val="left" w:pos="1701"/>
        <w:tab w:val="left" w:pos="3402"/>
        <w:tab w:val="left" w:pos="5103"/>
        <w:tab w:val="left" w:pos="6804"/>
        <w:tab w:val="left" w:pos="8505"/>
        <w:tab w:val="right" w:pos="9639"/>
      </w:tabs>
      <w:ind w:firstLine="0"/>
    </w:pPr>
  </w:style>
  <w:style w:type="paragraph" w:customStyle="1" w:styleId="12">
    <w:name w:val="Пар. с  12 см отстъп"/>
    <w:basedOn w:val="a3"/>
    <w:pPr>
      <w:tabs>
        <w:tab w:val="clear" w:pos="1701"/>
        <w:tab w:val="clear" w:pos="3402"/>
        <w:tab w:val="clear" w:pos="5103"/>
        <w:tab w:val="clear" w:pos="6804"/>
      </w:tabs>
      <w:spacing w:before="0"/>
      <w:ind w:left="6804"/>
    </w:pPr>
  </w:style>
  <w:style w:type="paragraph" w:customStyle="1" w:styleId="31">
    <w:name w:val="Пар. с  3 см отстъп"/>
    <w:basedOn w:val="a3"/>
    <w:pPr>
      <w:tabs>
        <w:tab w:val="clear" w:pos="1701"/>
      </w:tabs>
      <w:spacing w:before="0"/>
      <w:ind w:left="1701"/>
    </w:pPr>
  </w:style>
  <w:style w:type="paragraph" w:customStyle="1" w:styleId="6">
    <w:name w:val="Пар. с  6 см отстъп"/>
    <w:basedOn w:val="a3"/>
    <w:pPr>
      <w:tabs>
        <w:tab w:val="clear" w:pos="1701"/>
        <w:tab w:val="clear" w:pos="3402"/>
      </w:tabs>
      <w:spacing w:before="0"/>
      <w:ind w:left="3402"/>
    </w:pPr>
  </w:style>
  <w:style w:type="paragraph" w:customStyle="1" w:styleId="9">
    <w:name w:val="Пар. с  9 см отстъп"/>
    <w:basedOn w:val="a3"/>
    <w:pPr>
      <w:tabs>
        <w:tab w:val="clear" w:pos="1701"/>
        <w:tab w:val="clear" w:pos="3402"/>
        <w:tab w:val="clear" w:pos="5103"/>
      </w:tabs>
      <w:spacing w:before="0"/>
      <w:ind w:left="5103"/>
    </w:pPr>
  </w:style>
  <w:style w:type="paragraph" w:customStyle="1" w:styleId="a4">
    <w:name w:val="Плътен пар. с прод."/>
    <w:basedOn w:val="a3"/>
    <w:pPr>
      <w:keepNext/>
    </w:pPr>
  </w:style>
  <w:style w:type="paragraph" w:customStyle="1" w:styleId="1-">
    <w:name w:val="Списък 1-о ниво"/>
    <w:basedOn w:val="a0"/>
    <w:pPr>
      <w:tabs>
        <w:tab w:val="left" w:pos="1008"/>
      </w:tabs>
      <w:spacing w:before="60"/>
      <w:ind w:left="1296" w:hanging="288"/>
    </w:pPr>
  </w:style>
  <w:style w:type="paragraph" w:customStyle="1" w:styleId="2-">
    <w:name w:val="Списък 2-о ниво"/>
    <w:basedOn w:val="1-"/>
    <w:pPr>
      <w:tabs>
        <w:tab w:val="clear" w:pos="1008"/>
        <w:tab w:val="left" w:pos="1728"/>
      </w:tabs>
      <w:ind w:left="2017" w:hanging="289"/>
    </w:pPr>
  </w:style>
  <w:style w:type="paragraph" w:customStyle="1" w:styleId="3-">
    <w:name w:val="Списък 3-о ниво"/>
    <w:basedOn w:val="1-"/>
    <w:pPr>
      <w:tabs>
        <w:tab w:val="clear" w:pos="1008"/>
        <w:tab w:val="left" w:pos="2448"/>
      </w:tabs>
      <w:ind w:left="2737" w:hanging="289"/>
    </w:pPr>
  </w:style>
  <w:style w:type="paragraph" w:styleId="ListParagraph">
    <w:name w:val="List Paragraph"/>
    <w:basedOn w:val="Normal"/>
    <w:uiPriority w:val="34"/>
    <w:qFormat/>
    <w:rsid w:val="00D91240"/>
    <w:pPr>
      <w:spacing w:before="0" w:after="200" w:line="276" w:lineRule="auto"/>
      <w:ind w:left="720" w:firstLine="0"/>
      <w:contextualSpacing/>
      <w:jc w:val="left"/>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2A7FD9"/>
    <w:rPr>
      <w:color w:val="0563C1" w:themeColor="hyperlink"/>
      <w:u w:val="single"/>
    </w:rPr>
  </w:style>
  <w:style w:type="paragraph" w:customStyle="1" w:styleId="04-TEXTFIRST">
    <w:name w:val="04-TEXT FIRST"/>
    <w:basedOn w:val="Normal"/>
    <w:rsid w:val="00E0175F"/>
    <w:pPr>
      <w:spacing w:before="200"/>
      <w:ind w:firstLine="227"/>
    </w:pPr>
    <w:rPr>
      <w:rFonts w:ascii="Arial" w:hAnsi="Arial"/>
      <w:sz w:val="20"/>
      <w:szCs w:val="24"/>
      <w:lang w:eastAsia="en-US"/>
    </w:rPr>
  </w:style>
  <w:style w:type="paragraph" w:styleId="NormalWeb">
    <w:name w:val="Normal (Web)"/>
    <w:basedOn w:val="Normal"/>
    <w:uiPriority w:val="99"/>
    <w:semiHidden/>
    <w:unhideWhenUsed/>
    <w:rsid w:val="007032EB"/>
    <w:pPr>
      <w:spacing w:before="100" w:beforeAutospacing="1" w:after="100" w:afterAutospacing="1" w:line="240" w:lineRule="auto"/>
      <w:ind w:firstLine="0"/>
      <w:jc w:val="left"/>
    </w:pPr>
    <w:rPr>
      <w:szCs w:val="24"/>
    </w:rPr>
  </w:style>
  <w:style w:type="character" w:styleId="FollowedHyperlink">
    <w:name w:val="FollowedHyperlink"/>
    <w:basedOn w:val="DefaultParagraphFont"/>
    <w:uiPriority w:val="99"/>
    <w:semiHidden/>
    <w:unhideWhenUsed/>
    <w:rsid w:val="007032EB"/>
    <w:rPr>
      <w:color w:val="954F72" w:themeColor="followedHyperlink"/>
      <w:u w:val="single"/>
    </w:rPr>
  </w:style>
  <w:style w:type="paragraph" w:customStyle="1" w:styleId="02-DATE">
    <w:name w:val="02-DATE"/>
    <w:next w:val="Normal"/>
    <w:rsid w:val="009E6015"/>
    <w:pPr>
      <w:spacing w:line="360" w:lineRule="auto"/>
      <w:jc w:val="right"/>
    </w:pPr>
    <w:rPr>
      <w:rFonts w:ascii="Arial" w:hAnsi="Arial"/>
      <w:b/>
      <w:lang w:val="bg-BG" w:eastAsia="en-US"/>
    </w:rPr>
  </w:style>
  <w:style w:type="paragraph" w:customStyle="1" w:styleId="01-PRESSRELEASE">
    <w:name w:val="01-PRESSRELEASE"/>
    <w:next w:val="02-DATE"/>
    <w:rsid w:val="000F1220"/>
    <w:pPr>
      <w:spacing w:before="400" w:line="360" w:lineRule="auto"/>
      <w:jc w:val="center"/>
    </w:pPr>
    <w:rPr>
      <w:rFonts w:ascii="Arial" w:hAnsi="Arial"/>
      <w:b/>
      <w:lang w:val="bg-BG" w:eastAsia="en-US"/>
    </w:rPr>
  </w:style>
  <w:style w:type="paragraph" w:customStyle="1" w:styleId="05-TEXT">
    <w:name w:val="05-TEXT"/>
    <w:link w:val="05-TEXTCharChar"/>
    <w:rsid w:val="000F1220"/>
    <w:pPr>
      <w:spacing w:line="360" w:lineRule="auto"/>
      <w:ind w:firstLine="227"/>
      <w:jc w:val="both"/>
    </w:pPr>
    <w:rPr>
      <w:rFonts w:ascii="Arial" w:hAnsi="Arial"/>
      <w:szCs w:val="24"/>
      <w:lang w:val="bg-BG" w:eastAsia="en-US"/>
    </w:rPr>
  </w:style>
  <w:style w:type="character" w:customStyle="1" w:styleId="05-TEXTCharChar">
    <w:name w:val="05-TEXT Char Char"/>
    <w:link w:val="05-TEXT"/>
    <w:rsid w:val="000F1220"/>
    <w:rPr>
      <w:rFonts w:ascii="Arial" w:hAnsi="Arial"/>
      <w:szCs w:val="24"/>
      <w:lang w:val="bg-B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2093704">
      <w:bodyDiv w:val="1"/>
      <w:marLeft w:val="0"/>
      <w:marRight w:val="0"/>
      <w:marTop w:val="0"/>
      <w:marBottom w:val="0"/>
      <w:divBdr>
        <w:top w:val="none" w:sz="0" w:space="0" w:color="auto"/>
        <w:left w:val="none" w:sz="0" w:space="0" w:color="auto"/>
        <w:bottom w:val="none" w:sz="0" w:space="0" w:color="auto"/>
        <w:right w:val="none" w:sz="0" w:space="0" w:color="auto"/>
      </w:divBdr>
      <w:divsChild>
        <w:div w:id="1621911267">
          <w:marLeft w:val="0"/>
          <w:marRight w:val="0"/>
          <w:marTop w:val="0"/>
          <w:marBottom w:val="0"/>
          <w:divBdr>
            <w:top w:val="none" w:sz="0" w:space="0" w:color="auto"/>
            <w:left w:val="none" w:sz="0" w:space="0" w:color="auto"/>
            <w:bottom w:val="none" w:sz="0" w:space="0" w:color="auto"/>
            <w:right w:val="none" w:sz="0" w:space="0" w:color="auto"/>
          </w:divBdr>
          <w:divsChild>
            <w:div w:id="1077092423">
              <w:marLeft w:val="0"/>
              <w:marRight w:val="0"/>
              <w:marTop w:val="0"/>
              <w:marBottom w:val="0"/>
              <w:divBdr>
                <w:top w:val="none" w:sz="0" w:space="0" w:color="auto"/>
                <w:left w:val="none" w:sz="0" w:space="0" w:color="auto"/>
                <w:bottom w:val="none" w:sz="0" w:space="0" w:color="auto"/>
                <w:right w:val="none" w:sz="0" w:space="0" w:color="auto"/>
              </w:divBdr>
              <w:divsChild>
                <w:div w:id="861355574">
                  <w:marLeft w:val="0"/>
                  <w:marRight w:val="0"/>
                  <w:marTop w:val="0"/>
                  <w:marBottom w:val="0"/>
                  <w:divBdr>
                    <w:top w:val="none" w:sz="0" w:space="0" w:color="auto"/>
                    <w:left w:val="none" w:sz="0" w:space="0" w:color="auto"/>
                    <w:bottom w:val="none" w:sz="0" w:space="0" w:color="auto"/>
                    <w:right w:val="none" w:sz="0" w:space="0" w:color="auto"/>
                  </w:divBdr>
                  <w:divsChild>
                    <w:div w:id="220135475">
                      <w:marLeft w:val="0"/>
                      <w:marRight w:val="0"/>
                      <w:marTop w:val="0"/>
                      <w:marBottom w:val="0"/>
                      <w:divBdr>
                        <w:top w:val="none" w:sz="0" w:space="0" w:color="auto"/>
                        <w:left w:val="none" w:sz="0" w:space="0" w:color="auto"/>
                        <w:bottom w:val="none" w:sz="0" w:space="0" w:color="auto"/>
                        <w:right w:val="none" w:sz="0" w:space="0" w:color="auto"/>
                      </w:divBdr>
                      <w:divsChild>
                        <w:div w:id="1030229837">
                          <w:marLeft w:val="0"/>
                          <w:marRight w:val="0"/>
                          <w:marTop w:val="0"/>
                          <w:marBottom w:val="0"/>
                          <w:divBdr>
                            <w:top w:val="none" w:sz="0" w:space="0" w:color="auto"/>
                            <w:left w:val="none" w:sz="0" w:space="0" w:color="auto"/>
                            <w:bottom w:val="none" w:sz="0" w:space="0" w:color="auto"/>
                            <w:right w:val="none" w:sz="0" w:space="0" w:color="auto"/>
                          </w:divBdr>
                          <w:divsChild>
                            <w:div w:id="1166631094">
                              <w:marLeft w:val="0"/>
                              <w:marRight w:val="0"/>
                              <w:marTop w:val="0"/>
                              <w:marBottom w:val="0"/>
                              <w:divBdr>
                                <w:top w:val="none" w:sz="0" w:space="0" w:color="auto"/>
                                <w:left w:val="none" w:sz="0" w:space="0" w:color="auto"/>
                                <w:bottom w:val="none" w:sz="0" w:space="0" w:color="auto"/>
                                <w:right w:val="none" w:sz="0" w:space="0" w:color="auto"/>
                              </w:divBdr>
                              <w:divsChild>
                                <w:div w:id="1458836323">
                                  <w:marLeft w:val="0"/>
                                  <w:marRight w:val="0"/>
                                  <w:marTop w:val="0"/>
                                  <w:marBottom w:val="0"/>
                                  <w:divBdr>
                                    <w:top w:val="none" w:sz="0" w:space="0" w:color="auto"/>
                                    <w:left w:val="none" w:sz="0" w:space="0" w:color="auto"/>
                                    <w:bottom w:val="none" w:sz="0" w:space="0" w:color="auto"/>
                                    <w:right w:val="none" w:sz="0" w:space="0" w:color="auto"/>
                                  </w:divBdr>
                                  <w:divsChild>
                                    <w:div w:id="769425089">
                                      <w:marLeft w:val="0"/>
                                      <w:marRight w:val="0"/>
                                      <w:marTop w:val="0"/>
                                      <w:marBottom w:val="0"/>
                                      <w:divBdr>
                                        <w:top w:val="none" w:sz="0" w:space="0" w:color="auto"/>
                                        <w:left w:val="none" w:sz="0" w:space="0" w:color="auto"/>
                                        <w:bottom w:val="none" w:sz="0" w:space="0" w:color="auto"/>
                                        <w:right w:val="none" w:sz="0" w:space="0" w:color="auto"/>
                                      </w:divBdr>
                                      <w:divsChild>
                                        <w:div w:id="87890170">
                                          <w:marLeft w:val="0"/>
                                          <w:marRight w:val="0"/>
                                          <w:marTop w:val="0"/>
                                          <w:marBottom w:val="0"/>
                                          <w:divBdr>
                                            <w:top w:val="none" w:sz="0" w:space="0" w:color="auto"/>
                                            <w:left w:val="none" w:sz="0" w:space="0" w:color="auto"/>
                                            <w:bottom w:val="none" w:sz="0" w:space="0" w:color="auto"/>
                                            <w:right w:val="none" w:sz="0" w:space="0" w:color="auto"/>
                                          </w:divBdr>
                                          <w:divsChild>
                                            <w:div w:id="206647263">
                                              <w:marLeft w:val="0"/>
                                              <w:marRight w:val="0"/>
                                              <w:marTop w:val="0"/>
                                              <w:marBottom w:val="0"/>
                                              <w:divBdr>
                                                <w:top w:val="none" w:sz="0" w:space="0" w:color="auto"/>
                                                <w:left w:val="none" w:sz="0" w:space="0" w:color="auto"/>
                                                <w:bottom w:val="none" w:sz="0" w:space="0" w:color="auto"/>
                                                <w:right w:val="none" w:sz="0" w:space="0" w:color="auto"/>
                                              </w:divBdr>
                                              <w:divsChild>
                                                <w:div w:id="107081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nb.bg/BankSupervision/BSCapitalBuffers/BSCBCountercyclical/index.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BA7AB9-BD33-4ABB-969B-6CC8962A4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586</Words>
  <Characters>3344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ДОКЛАДНА ЗАПИСКА ДО УПРАВИТЕЛНИЯ СЪВЕТ</vt:lpstr>
    </vt:vector>
  </TitlesOfParts>
  <Company>Българска народна банка</Company>
  <LinksUpToDate>false</LinksUpToDate>
  <CharactersWithSpaces>3923</CharactersWithSpaces>
  <SharedDoc>false</SharedDoc>
  <HLinks>
    <vt:vector size="6" baseType="variant">
      <vt:variant>
        <vt:i4>7274539</vt:i4>
      </vt:variant>
      <vt:variant>
        <vt:i4>1024</vt:i4>
      </vt:variant>
      <vt:variant>
        <vt:i4>1025</vt:i4>
      </vt:variant>
      <vt:variant>
        <vt:i4>1</vt:i4>
      </vt:variant>
      <vt:variant>
        <vt:lpwstr>!s5-7,9-10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ДОКЛАДНА ЗАПИСКА ДО УПРАВИТЕЛНИЯ СЪВЕТ</dc:title>
  <dc:creator>Стефан Кръстанов</dc:creator>
  <cp:lastModifiedBy>Биляна Борисова</cp:lastModifiedBy>
  <cp:revision>22</cp:revision>
  <cp:lastPrinted>2020-06-23T11:58:00Z</cp:lastPrinted>
  <dcterms:created xsi:type="dcterms:W3CDTF">2024-06-26T08:29:00Z</dcterms:created>
  <dcterms:modified xsi:type="dcterms:W3CDTF">2024-09-24T14:05:00Z</dcterms:modified>
</cp:coreProperties>
</file>