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C15" w:rsidRPr="00567C15" w:rsidRDefault="00567C15" w:rsidP="00567C15">
      <w:pPr>
        <w:pStyle w:val="01-PRESSRELEASE"/>
      </w:pPr>
      <w:r w:rsidRPr="00567C15">
        <w:t>PRESS RELEASE</w:t>
      </w:r>
    </w:p>
    <w:p w:rsidR="00567C15" w:rsidRPr="002A3F5A" w:rsidRDefault="002A3F5A" w:rsidP="00567C15">
      <w:pPr>
        <w:pStyle w:val="02-DATE"/>
        <w:rPr>
          <w:lang w:val="en-US"/>
        </w:rPr>
      </w:pPr>
      <w:r>
        <w:t xml:space="preserve">17 </w:t>
      </w:r>
      <w:r>
        <w:rPr>
          <w:lang w:val="en-US"/>
        </w:rPr>
        <w:t>March 2025</w:t>
      </w:r>
    </w:p>
    <w:p w:rsidR="001B3AA3" w:rsidRPr="009E1A7C" w:rsidRDefault="001B3AA3" w:rsidP="002A3F5A">
      <w:pPr>
        <w:pStyle w:val="04-TEXTFIRST"/>
        <w:rPr>
          <w:lang w:val="en-GB"/>
        </w:rPr>
      </w:pPr>
      <w:r w:rsidRPr="009E1A7C">
        <w:rPr>
          <w:lang w:val="en-GB"/>
        </w:rPr>
        <w:t xml:space="preserve">The BNB Governing Council </w:t>
      </w:r>
      <w:r w:rsidR="00396A59" w:rsidRPr="009E1A7C">
        <w:rPr>
          <w:lang w:val="en-GB"/>
        </w:rPr>
        <w:t>set</w:t>
      </w:r>
      <w:r w:rsidRPr="009E1A7C">
        <w:rPr>
          <w:lang w:val="en-GB"/>
        </w:rPr>
        <w:t xml:space="preserve"> the countercyclical capital buffer rate applicable to credit risk exposures in the Republic of Bulgaria at </w:t>
      </w:r>
      <w:r w:rsidR="00A44671" w:rsidRPr="009E1A7C">
        <w:rPr>
          <w:lang w:val="en-GB"/>
        </w:rPr>
        <w:t>2.0</w:t>
      </w:r>
      <w:r w:rsidRPr="009E1A7C">
        <w:rPr>
          <w:lang w:val="en-GB"/>
        </w:rPr>
        <w:t xml:space="preserve">% </w:t>
      </w:r>
      <w:r w:rsidR="00AC77F2" w:rsidRPr="009E1A7C">
        <w:rPr>
          <w:lang w:val="en-GB"/>
        </w:rPr>
        <w:t>for 202</w:t>
      </w:r>
      <w:r w:rsidR="006D4242" w:rsidRPr="009E1A7C">
        <w:rPr>
          <w:lang w:val="en-GB"/>
        </w:rPr>
        <w:t xml:space="preserve">6 </w:t>
      </w:r>
      <w:r w:rsidR="00AC77F2" w:rsidRPr="009E1A7C">
        <w:rPr>
          <w:lang w:val="en-GB"/>
        </w:rPr>
        <w:t>Q</w:t>
      </w:r>
      <w:r w:rsidR="00E850A5">
        <w:rPr>
          <w:lang w:val="en-GB"/>
        </w:rPr>
        <w:t>2</w:t>
      </w:r>
      <w:r w:rsidRPr="009E1A7C">
        <w:rPr>
          <w:lang w:val="en-GB"/>
        </w:rPr>
        <w:t>, under an assessment of the countercyclical capital buffer rate in pursuance with Article 5, paragraphs 3 and 4 of BNB Ordinance No. 8 on Capital Buffers, the Combined Buffer Requirement, Restrictions on Distributions and the Guidance on Additional Own Funds.</w:t>
      </w:r>
    </w:p>
    <w:p w:rsidR="001B3AA3" w:rsidRPr="009E1A7C" w:rsidRDefault="001B3AA3" w:rsidP="002A3F5A">
      <w:pPr>
        <w:pStyle w:val="04-TEXTFIRST"/>
        <w:rPr>
          <w:lang w:val="en-GB"/>
        </w:rPr>
      </w:pPr>
      <w:r w:rsidRPr="009E1A7C">
        <w:rPr>
          <w:lang w:val="en-GB"/>
        </w:rPr>
        <w:t xml:space="preserve">Pursuant to Article 5, paragraph 3 of the BNB Ordinance No.8, setting of the countercyclical buffer rate shall take into account the reference indicator, calculated in accordance with paragraph 1, the European Systemic Risk Board (ESRB) guidelines as well as other variables that BNB considers relevant for </w:t>
      </w:r>
      <w:r w:rsidR="00AF59FF" w:rsidRPr="009E1A7C">
        <w:rPr>
          <w:lang w:val="en-GB"/>
        </w:rPr>
        <w:t>measuring</w:t>
      </w:r>
      <w:r w:rsidRPr="009E1A7C">
        <w:rPr>
          <w:lang w:val="en-GB"/>
        </w:rPr>
        <w:t xml:space="preserve"> the cyclical systemic risk. With regard to data related to the reference indicator for the countercyclical buffer, the credit-to-GDP ratio calculated according to the methodology publishe</w:t>
      </w:r>
      <w:r w:rsidR="00B0334A" w:rsidRPr="009E1A7C">
        <w:rPr>
          <w:lang w:val="en-GB"/>
        </w:rPr>
        <w:t xml:space="preserve">d on the BNB website stood at </w:t>
      </w:r>
      <w:r w:rsidR="00E850A5">
        <w:rPr>
          <w:lang w:val="en-GB"/>
        </w:rPr>
        <w:t>77</w:t>
      </w:r>
      <w:r w:rsidR="005B0208" w:rsidRPr="009E1A7C">
        <w:rPr>
          <w:lang w:val="en-GB"/>
        </w:rPr>
        <w:t>.</w:t>
      </w:r>
      <w:r w:rsidR="007B1B65" w:rsidRPr="009E1A7C">
        <w:rPr>
          <w:lang w:val="en-GB"/>
        </w:rPr>
        <w:t>1</w:t>
      </w:r>
      <w:r w:rsidR="009F3DE4" w:rsidRPr="009E1A7C">
        <w:rPr>
          <w:lang w:val="en-GB"/>
        </w:rPr>
        <w:t>% at the end of 2024</w:t>
      </w:r>
      <w:r w:rsidR="00915B28" w:rsidRPr="009E1A7C">
        <w:rPr>
          <w:lang w:val="en-GB"/>
        </w:rPr>
        <w:t xml:space="preserve"> Q</w:t>
      </w:r>
      <w:r w:rsidR="00E850A5">
        <w:rPr>
          <w:lang w:val="en-GB"/>
        </w:rPr>
        <w:t>4</w:t>
      </w:r>
      <w:r w:rsidRPr="009E1A7C">
        <w:rPr>
          <w:lang w:val="en-GB"/>
        </w:rPr>
        <w:t>. Its deviation from the lo</w:t>
      </w:r>
      <w:r w:rsidR="006E724D" w:rsidRPr="009E1A7C">
        <w:rPr>
          <w:lang w:val="en-GB"/>
        </w:rPr>
        <w:t>ng-term trend is negative (</w:t>
      </w:r>
      <w:r w:rsidR="00E850A5">
        <w:rPr>
          <w:lang w:val="en-GB"/>
        </w:rPr>
        <w:t>-22</w:t>
      </w:r>
      <w:r w:rsidR="005B0208" w:rsidRPr="009E1A7C">
        <w:rPr>
          <w:lang w:val="en-GB"/>
        </w:rPr>
        <w:t>.</w:t>
      </w:r>
      <w:r w:rsidR="00E850A5">
        <w:t>9</w:t>
      </w:r>
      <w:r w:rsidRPr="009E1A7C">
        <w:rPr>
          <w:lang w:val="en-GB"/>
        </w:rPr>
        <w:t xml:space="preserve"> pp), which corresponds to zero value of the reference indicator.</w:t>
      </w:r>
    </w:p>
    <w:p w:rsidR="001B3AA3" w:rsidRPr="009E1A7C" w:rsidRDefault="001B3AA3" w:rsidP="002A3F5A">
      <w:pPr>
        <w:pStyle w:val="04-TEXTFIRST"/>
        <w:rPr>
          <w:lang w:val="en-GB"/>
        </w:rPr>
      </w:pPr>
      <w:r w:rsidRPr="009E1A7C">
        <w:rPr>
          <w:lang w:val="en-GB"/>
        </w:rPr>
        <w:t xml:space="preserve">As the standardised measure for the deviation of the credit-to-GDP ratio from its long-term trend </w:t>
      </w:r>
      <w:r w:rsidR="00AC6125" w:rsidRPr="009E1A7C">
        <w:rPr>
          <w:lang w:val="en-GB"/>
        </w:rPr>
        <w:t xml:space="preserve">does not </w:t>
      </w:r>
      <w:r w:rsidR="00E15406" w:rsidRPr="009E1A7C">
        <w:rPr>
          <w:lang w:val="en-GB"/>
        </w:rPr>
        <w:t xml:space="preserve">adequately </w:t>
      </w:r>
      <w:r w:rsidR="00AC6125" w:rsidRPr="009E1A7C">
        <w:rPr>
          <w:lang w:val="en-GB"/>
        </w:rPr>
        <w:t>reflect</w:t>
      </w:r>
      <w:r w:rsidRPr="009E1A7C">
        <w:rPr>
          <w:lang w:val="en-GB"/>
        </w:rPr>
        <w:t xml:space="preserve"> the intensity of cyclical risks, assessments </w:t>
      </w:r>
      <w:r w:rsidR="00FF61E1" w:rsidRPr="009E1A7C">
        <w:rPr>
          <w:lang w:val="en-GB"/>
        </w:rPr>
        <w:t>of</w:t>
      </w:r>
      <w:r w:rsidRPr="009E1A7C">
        <w:rPr>
          <w:lang w:val="en-GB"/>
        </w:rPr>
        <w:t xml:space="preserve"> the countercyclical buffer rate </w:t>
      </w:r>
      <w:r w:rsidR="00FF61E1" w:rsidRPr="009E1A7C">
        <w:rPr>
          <w:lang w:val="en-GB"/>
        </w:rPr>
        <w:t>take</w:t>
      </w:r>
      <w:r w:rsidR="00330655" w:rsidRPr="009E1A7C">
        <w:rPr>
          <w:lang w:val="en-GB"/>
        </w:rPr>
        <w:t xml:space="preserve"> </w:t>
      </w:r>
      <w:r w:rsidR="00FF61E1" w:rsidRPr="009E1A7C">
        <w:rPr>
          <w:lang w:val="en-GB"/>
        </w:rPr>
        <w:t>into account</w:t>
      </w:r>
      <w:r w:rsidRPr="009E1A7C">
        <w:rPr>
          <w:lang w:val="en-GB"/>
        </w:rPr>
        <w:t xml:space="preserve"> additional indicators which are focused on developments in the credit market, indebtedness, real estate market as well as the general economic outlook.</w:t>
      </w:r>
    </w:p>
    <w:p w:rsidR="005C5919" w:rsidRPr="00D804B3" w:rsidRDefault="00D93E64" w:rsidP="00D41946">
      <w:pPr>
        <w:pStyle w:val="04-TEXTFIRST"/>
        <w:rPr>
          <w:lang w:val="en-US"/>
        </w:rPr>
      </w:pPr>
      <w:r>
        <w:rPr>
          <w:lang w:val="en-US"/>
        </w:rPr>
        <w:t xml:space="preserve">Lending activity in the private sector remained elevated. Strong credit growth continued to be observed in the </w:t>
      </w:r>
      <w:r w:rsidR="00247B36">
        <w:rPr>
          <w:lang w:val="en-US"/>
        </w:rPr>
        <w:t>household segment</w:t>
      </w:r>
      <w:r w:rsidR="00336EE3">
        <w:rPr>
          <w:lang w:val="en-US"/>
        </w:rPr>
        <w:t>.</w:t>
      </w:r>
      <w:r w:rsidR="005F3AEF">
        <w:rPr>
          <w:lang w:val="en-US"/>
        </w:rPr>
        <w:t xml:space="preserve"> </w:t>
      </w:r>
      <w:r w:rsidR="00336EE3">
        <w:rPr>
          <w:lang w:val="en-US"/>
        </w:rPr>
        <w:t>L</w:t>
      </w:r>
      <w:r w:rsidR="00856A3D">
        <w:rPr>
          <w:lang w:val="en-US"/>
        </w:rPr>
        <w:t xml:space="preserve">ending to </w:t>
      </w:r>
      <w:r w:rsidR="009D1E24">
        <w:rPr>
          <w:lang w:val="en-US"/>
        </w:rPr>
        <w:t>n</w:t>
      </w:r>
      <w:r w:rsidR="005C5919" w:rsidRPr="005C5919">
        <w:rPr>
          <w:lang w:val="en-US"/>
        </w:rPr>
        <w:t xml:space="preserve">on-financial </w:t>
      </w:r>
      <w:r w:rsidR="009D1E24">
        <w:rPr>
          <w:lang w:val="en-US"/>
        </w:rPr>
        <w:t>c</w:t>
      </w:r>
      <w:r w:rsidR="005C5919" w:rsidRPr="005C5919">
        <w:rPr>
          <w:lang w:val="en-US"/>
        </w:rPr>
        <w:t>orporations</w:t>
      </w:r>
      <w:r w:rsidR="005C5919">
        <w:rPr>
          <w:lang w:val="en-US"/>
        </w:rPr>
        <w:t xml:space="preserve"> </w:t>
      </w:r>
      <w:r w:rsidR="00D41946">
        <w:rPr>
          <w:lang w:val="en-US"/>
        </w:rPr>
        <w:t xml:space="preserve">increased more significantly </w:t>
      </w:r>
      <w:r w:rsidR="00D93660">
        <w:rPr>
          <w:lang w:val="en-US"/>
        </w:rPr>
        <w:t xml:space="preserve">in the fourth quarter </w:t>
      </w:r>
      <w:r w:rsidR="00664566">
        <w:rPr>
          <w:lang w:val="en-US"/>
        </w:rPr>
        <w:t xml:space="preserve">compared </w:t>
      </w:r>
      <w:r w:rsidR="00AA1FE3">
        <w:rPr>
          <w:lang w:val="en-US"/>
        </w:rPr>
        <w:t>to</w:t>
      </w:r>
      <w:r w:rsidR="00D41946">
        <w:rPr>
          <w:lang w:val="en-US"/>
        </w:rPr>
        <w:t xml:space="preserve"> previous </w:t>
      </w:r>
      <w:r w:rsidR="007B7646">
        <w:rPr>
          <w:lang w:val="en-US"/>
        </w:rPr>
        <w:t>quarters</w:t>
      </w:r>
      <w:r w:rsidR="00D41946">
        <w:rPr>
          <w:lang w:val="en-US"/>
        </w:rPr>
        <w:t xml:space="preserve">. </w:t>
      </w:r>
      <w:r w:rsidR="005C5919" w:rsidRPr="005C5919">
        <w:rPr>
          <w:lang w:val="en-US"/>
        </w:rPr>
        <w:t xml:space="preserve">Prolonged periods of elevated </w:t>
      </w:r>
      <w:r w:rsidR="0028239A">
        <w:rPr>
          <w:lang w:val="en-US"/>
        </w:rPr>
        <w:t>lending</w:t>
      </w:r>
      <w:r w:rsidR="0028239A" w:rsidRPr="005C5919">
        <w:rPr>
          <w:lang w:val="en-US"/>
        </w:rPr>
        <w:t xml:space="preserve"> </w:t>
      </w:r>
      <w:r w:rsidR="005C5919" w:rsidRPr="005C5919">
        <w:rPr>
          <w:lang w:val="en-US"/>
        </w:rPr>
        <w:t>activity could lead to</w:t>
      </w:r>
      <w:r w:rsidR="005A4518">
        <w:rPr>
          <w:lang w:val="en-US"/>
        </w:rPr>
        <w:t xml:space="preserve"> </w:t>
      </w:r>
      <w:r w:rsidR="005C5919" w:rsidRPr="005C5919">
        <w:rPr>
          <w:lang w:val="en-US"/>
        </w:rPr>
        <w:t xml:space="preserve">accumulation of </w:t>
      </w:r>
      <w:r w:rsidR="00D100E8">
        <w:rPr>
          <w:lang w:val="en-US"/>
        </w:rPr>
        <w:t xml:space="preserve">medium-term risks in </w:t>
      </w:r>
      <w:r w:rsidR="00FB775F">
        <w:rPr>
          <w:lang w:val="en-US"/>
        </w:rPr>
        <w:t xml:space="preserve">the </w:t>
      </w:r>
      <w:r w:rsidR="00D100E8">
        <w:rPr>
          <w:lang w:val="en-US"/>
        </w:rPr>
        <w:t xml:space="preserve">banking </w:t>
      </w:r>
      <w:r w:rsidR="008360ED">
        <w:rPr>
          <w:lang w:val="en-US"/>
        </w:rPr>
        <w:t xml:space="preserve">sector </w:t>
      </w:r>
      <w:r w:rsidR="00D100E8">
        <w:rPr>
          <w:lang w:val="en-US"/>
        </w:rPr>
        <w:t xml:space="preserve">balance sheet and </w:t>
      </w:r>
      <w:r w:rsidR="00170EC0">
        <w:rPr>
          <w:lang w:val="en-US"/>
        </w:rPr>
        <w:t>t</w:t>
      </w:r>
      <w:r w:rsidR="00151155">
        <w:rPr>
          <w:lang w:val="en-US"/>
        </w:rPr>
        <w:t xml:space="preserve">o </w:t>
      </w:r>
      <w:r w:rsidR="005F3AEF">
        <w:rPr>
          <w:lang w:val="en-US"/>
        </w:rPr>
        <w:t xml:space="preserve">increase </w:t>
      </w:r>
      <w:r w:rsidR="005412C3">
        <w:rPr>
          <w:lang w:val="en-US"/>
        </w:rPr>
        <w:t>of</w:t>
      </w:r>
      <w:r w:rsidR="00D100E8">
        <w:rPr>
          <w:lang w:val="en-US"/>
        </w:rPr>
        <w:t xml:space="preserve"> borrowers’ indebtedness.</w:t>
      </w:r>
      <w:r w:rsidR="007B7646">
        <w:rPr>
          <w:lang w:val="en-US"/>
        </w:rPr>
        <w:t xml:space="preserve"> </w:t>
      </w:r>
      <w:r w:rsidR="009D1E24">
        <w:rPr>
          <w:lang w:val="en-US"/>
        </w:rPr>
        <w:t>In view of the</w:t>
      </w:r>
      <w:r w:rsidR="00DA0B6C">
        <w:rPr>
          <w:lang w:val="en-US"/>
        </w:rPr>
        <w:t xml:space="preserve"> potential build-up of medium-term risks associated with </w:t>
      </w:r>
      <w:r w:rsidR="005F3AEF">
        <w:rPr>
          <w:lang w:val="en-US"/>
        </w:rPr>
        <w:t xml:space="preserve">the </w:t>
      </w:r>
      <w:r w:rsidR="00DA0B6C">
        <w:rPr>
          <w:lang w:val="en-US"/>
        </w:rPr>
        <w:t xml:space="preserve">credit dynamics in the </w:t>
      </w:r>
      <w:r w:rsidR="0040753E">
        <w:rPr>
          <w:lang w:val="en-US"/>
        </w:rPr>
        <w:t xml:space="preserve">segment of residential real estate loans, the BNB </w:t>
      </w:r>
      <w:r w:rsidR="0040753E" w:rsidRPr="009E1A7C">
        <w:rPr>
          <w:lang w:val="en-GB"/>
        </w:rPr>
        <w:t xml:space="preserve">adopted requirements with respect to the indicators on lending standards </w:t>
      </w:r>
      <w:r w:rsidR="0097084C">
        <w:rPr>
          <w:lang w:val="en-GB"/>
        </w:rPr>
        <w:t xml:space="preserve">for </w:t>
      </w:r>
      <w:r w:rsidR="00495489">
        <w:rPr>
          <w:lang w:val="en-GB"/>
        </w:rPr>
        <w:t xml:space="preserve">collateralization </w:t>
      </w:r>
      <w:r w:rsidR="0040753E">
        <w:rPr>
          <w:lang w:val="en-GB"/>
        </w:rPr>
        <w:t>(LTV), debt servic</w:t>
      </w:r>
      <w:r w:rsidR="00495489">
        <w:rPr>
          <w:lang w:val="en-GB"/>
        </w:rPr>
        <w:t xml:space="preserve">ing </w:t>
      </w:r>
      <w:r w:rsidR="0040753E">
        <w:rPr>
          <w:lang w:val="en-GB"/>
        </w:rPr>
        <w:t xml:space="preserve">(DSTI) and maturity </w:t>
      </w:r>
      <w:r w:rsidR="0097084C">
        <w:rPr>
          <w:lang w:val="en-GB"/>
        </w:rPr>
        <w:t xml:space="preserve">at origination and renegotiation </w:t>
      </w:r>
      <w:r w:rsidR="00707DCE">
        <w:rPr>
          <w:lang w:val="en-GB"/>
        </w:rPr>
        <w:t>of loans</w:t>
      </w:r>
      <w:r w:rsidR="00707DCE" w:rsidRPr="00931D14">
        <w:rPr>
          <w:lang w:val="en-GB"/>
        </w:rPr>
        <w:t>, secured by residential real estate (RRE)</w:t>
      </w:r>
      <w:r w:rsidR="002719ED">
        <w:rPr>
          <w:lang w:val="en-GB"/>
        </w:rPr>
        <w:t>.</w:t>
      </w:r>
      <w:r w:rsidR="00707DCE">
        <w:rPr>
          <w:lang w:val="en-GB"/>
        </w:rPr>
        <w:t xml:space="preserve"> </w:t>
      </w:r>
      <w:r w:rsidR="0040753E" w:rsidRPr="00931D14">
        <w:rPr>
          <w:lang w:val="en-GB"/>
        </w:rPr>
        <w:t xml:space="preserve">The measure entered into force on 1 October 2024 </w:t>
      </w:r>
      <w:r w:rsidR="00C22358">
        <w:rPr>
          <w:lang w:val="en-US"/>
        </w:rPr>
        <w:t xml:space="preserve">and </w:t>
      </w:r>
      <w:r w:rsidR="0040753E" w:rsidRPr="00931D14">
        <w:rPr>
          <w:lang w:val="en-GB"/>
        </w:rPr>
        <w:t xml:space="preserve">aims at strengthening the </w:t>
      </w:r>
      <w:r w:rsidR="0097084C">
        <w:rPr>
          <w:lang w:val="en-GB"/>
        </w:rPr>
        <w:t xml:space="preserve">mortgage </w:t>
      </w:r>
      <w:r w:rsidR="0097084C" w:rsidRPr="00931D14">
        <w:rPr>
          <w:lang w:val="en-GB"/>
        </w:rPr>
        <w:t>borrowers</w:t>
      </w:r>
      <w:r w:rsidR="0097084C">
        <w:rPr>
          <w:lang w:val="en-GB"/>
        </w:rPr>
        <w:t>’</w:t>
      </w:r>
      <w:r w:rsidR="0097084C" w:rsidRPr="00931D14">
        <w:rPr>
          <w:lang w:val="en-GB"/>
        </w:rPr>
        <w:t xml:space="preserve"> </w:t>
      </w:r>
      <w:r w:rsidR="0040753E" w:rsidRPr="00931D14">
        <w:rPr>
          <w:lang w:val="en-GB"/>
        </w:rPr>
        <w:t xml:space="preserve">creditworthiness and the resilience of the banking system. The measure is </w:t>
      </w:r>
      <w:r w:rsidR="00E95603">
        <w:rPr>
          <w:lang w:val="en-GB"/>
        </w:rPr>
        <w:t>subject to</w:t>
      </w:r>
      <w:r w:rsidR="008408B1">
        <w:rPr>
          <w:lang w:val="en-GB"/>
        </w:rPr>
        <w:t xml:space="preserve"> </w:t>
      </w:r>
      <w:r w:rsidR="0040753E" w:rsidRPr="00931D14">
        <w:rPr>
          <w:lang w:val="en-GB"/>
        </w:rPr>
        <w:t xml:space="preserve">regular </w:t>
      </w:r>
      <w:proofErr w:type="spellStart"/>
      <w:r w:rsidR="0040753E" w:rsidRPr="00931D14">
        <w:rPr>
          <w:lang w:val="en-GB"/>
        </w:rPr>
        <w:t>macroprudential</w:t>
      </w:r>
      <w:proofErr w:type="spellEnd"/>
      <w:r w:rsidR="0040753E" w:rsidRPr="00931D14">
        <w:rPr>
          <w:lang w:val="en-GB"/>
        </w:rPr>
        <w:t xml:space="preserve"> monitoring and analysis </w:t>
      </w:r>
      <w:r w:rsidR="00096768">
        <w:rPr>
          <w:lang w:val="en-GB"/>
        </w:rPr>
        <w:t>as part of the overall</w:t>
      </w:r>
      <w:r w:rsidR="00D804B3" w:rsidRPr="00931D14">
        <w:rPr>
          <w:lang w:val="en-GB"/>
        </w:rPr>
        <w:t xml:space="preserve"> supervisory </w:t>
      </w:r>
      <w:r w:rsidR="00D804B3" w:rsidRPr="00931D14">
        <w:rPr>
          <w:lang w:val="en-US"/>
        </w:rPr>
        <w:t>toolkit (</w:t>
      </w:r>
      <w:r w:rsidR="00D342A0">
        <w:rPr>
          <w:lang w:val="en-US"/>
        </w:rPr>
        <w:t>includ</w:t>
      </w:r>
      <w:r w:rsidR="006C6BE4">
        <w:rPr>
          <w:lang w:val="en-US"/>
        </w:rPr>
        <w:t>ing</w:t>
      </w:r>
      <w:r w:rsidR="00D342A0" w:rsidRPr="00931D14">
        <w:rPr>
          <w:lang w:val="en-US"/>
        </w:rPr>
        <w:t xml:space="preserve"> </w:t>
      </w:r>
      <w:r w:rsidR="00D804B3" w:rsidRPr="00931D14">
        <w:rPr>
          <w:lang w:val="en-US"/>
        </w:rPr>
        <w:t xml:space="preserve">the countercyclical capital buffer). The </w:t>
      </w:r>
      <w:r w:rsidR="00330595" w:rsidRPr="00931D14">
        <w:rPr>
          <w:lang w:val="en-US"/>
        </w:rPr>
        <w:t>requirement for</w:t>
      </w:r>
      <w:r w:rsidR="00D804B3" w:rsidRPr="00931D14">
        <w:rPr>
          <w:lang w:val="en-US"/>
        </w:rPr>
        <w:t xml:space="preserve"> </w:t>
      </w:r>
      <w:r w:rsidR="00D758DB">
        <w:rPr>
          <w:lang w:val="en-US"/>
        </w:rPr>
        <w:t xml:space="preserve">the </w:t>
      </w:r>
      <w:r w:rsidR="00D804B3" w:rsidRPr="00931D14">
        <w:rPr>
          <w:lang w:val="en-US"/>
        </w:rPr>
        <w:t>countercyclical capital buffer a</w:t>
      </w:r>
      <w:r w:rsidR="00330595" w:rsidRPr="00931D14">
        <w:rPr>
          <w:lang w:val="en-US"/>
        </w:rPr>
        <w:t>t 2%, e</w:t>
      </w:r>
      <w:r w:rsidR="00D804B3" w:rsidRPr="00931D14">
        <w:rPr>
          <w:lang w:val="en-US"/>
        </w:rPr>
        <w:t>n</w:t>
      </w:r>
      <w:r w:rsidR="00330595" w:rsidRPr="00931D14">
        <w:rPr>
          <w:lang w:val="en-US"/>
        </w:rPr>
        <w:t xml:space="preserve">tering into force </w:t>
      </w:r>
      <w:r w:rsidR="00AF356D">
        <w:rPr>
          <w:lang w:val="en-US"/>
        </w:rPr>
        <w:t>from</w:t>
      </w:r>
      <w:r w:rsidR="00AF356D" w:rsidRPr="00931D14">
        <w:rPr>
          <w:lang w:val="en-US"/>
        </w:rPr>
        <w:t xml:space="preserve"> </w:t>
      </w:r>
      <w:r w:rsidR="00330595" w:rsidRPr="00931D14">
        <w:rPr>
          <w:lang w:val="en-US"/>
        </w:rPr>
        <w:t>t</w:t>
      </w:r>
      <w:r w:rsidR="00600807" w:rsidRPr="00931D14">
        <w:rPr>
          <w:lang w:val="en-US"/>
        </w:rPr>
        <w:t>he second quarter of 2026, aims at safeguarding the resilien</w:t>
      </w:r>
      <w:r w:rsidR="00600807" w:rsidRPr="001B449D">
        <w:rPr>
          <w:lang w:val="en-US"/>
        </w:rPr>
        <w:t xml:space="preserve">ce </w:t>
      </w:r>
      <w:r w:rsidR="00887072" w:rsidRPr="001B449D">
        <w:rPr>
          <w:lang w:val="en-US"/>
        </w:rPr>
        <w:t xml:space="preserve">of the banking </w:t>
      </w:r>
      <w:r w:rsidR="001B449D" w:rsidRPr="001B449D">
        <w:rPr>
          <w:lang w:val="en-US"/>
        </w:rPr>
        <w:t>system</w:t>
      </w:r>
      <w:r w:rsidR="00887072" w:rsidRPr="001B449D">
        <w:rPr>
          <w:lang w:val="en-US"/>
        </w:rPr>
        <w:t xml:space="preserve"> </w:t>
      </w:r>
      <w:r w:rsidR="00600807" w:rsidRPr="001B449D">
        <w:rPr>
          <w:lang w:val="en-US"/>
        </w:rPr>
        <w:t>against</w:t>
      </w:r>
      <w:r w:rsidR="00600807" w:rsidRPr="00931D14">
        <w:rPr>
          <w:lang w:val="en-US"/>
        </w:rPr>
        <w:t xml:space="preserve"> potential future losses</w:t>
      </w:r>
      <w:r w:rsidR="005F1DD8">
        <w:rPr>
          <w:lang w:val="en-US"/>
        </w:rPr>
        <w:t>,</w:t>
      </w:r>
      <w:r w:rsidR="00065A01">
        <w:rPr>
          <w:lang w:val="en-US"/>
        </w:rPr>
        <w:t xml:space="preserve"> </w:t>
      </w:r>
      <w:r w:rsidR="00F10E96">
        <w:rPr>
          <w:lang w:val="en-US"/>
        </w:rPr>
        <w:t>related to</w:t>
      </w:r>
      <w:r w:rsidR="00496E0C" w:rsidRPr="00931D14">
        <w:rPr>
          <w:lang w:val="en-US"/>
        </w:rPr>
        <w:t xml:space="preserve"> </w:t>
      </w:r>
      <w:r w:rsidR="00C33CFD">
        <w:rPr>
          <w:lang w:val="en-US"/>
        </w:rPr>
        <w:t xml:space="preserve">the </w:t>
      </w:r>
      <w:r w:rsidR="00065A01">
        <w:rPr>
          <w:lang w:val="en-US"/>
        </w:rPr>
        <w:t>elevated</w:t>
      </w:r>
      <w:r w:rsidR="00065A01" w:rsidRPr="00931D14">
        <w:rPr>
          <w:lang w:val="en-US"/>
        </w:rPr>
        <w:t xml:space="preserve"> </w:t>
      </w:r>
      <w:r w:rsidR="009933F7" w:rsidRPr="00931D14">
        <w:rPr>
          <w:lang w:val="en-US"/>
        </w:rPr>
        <w:t xml:space="preserve">credit growth. Maintaining </w:t>
      </w:r>
      <w:r w:rsidR="009D1198">
        <w:rPr>
          <w:lang w:val="en-US"/>
        </w:rPr>
        <w:t>the</w:t>
      </w:r>
      <w:r w:rsidR="005D41C5">
        <w:rPr>
          <w:lang w:val="en-US"/>
        </w:rPr>
        <w:t xml:space="preserve"> </w:t>
      </w:r>
      <w:r w:rsidR="00B06819">
        <w:rPr>
          <w:lang w:val="en-US"/>
        </w:rPr>
        <w:t xml:space="preserve">level of the </w:t>
      </w:r>
      <w:r w:rsidR="00DA0143" w:rsidRPr="00931D14">
        <w:rPr>
          <w:lang w:val="en-US"/>
        </w:rPr>
        <w:t>countercyclical</w:t>
      </w:r>
      <w:r w:rsidR="009933F7" w:rsidRPr="00931D14">
        <w:rPr>
          <w:lang w:val="en-US"/>
        </w:rPr>
        <w:t xml:space="preserve"> capital buffer supports the solid capital position of the banking </w:t>
      </w:r>
      <w:r w:rsidR="00CC3E76">
        <w:rPr>
          <w:lang w:val="en-US"/>
        </w:rPr>
        <w:t xml:space="preserve">system </w:t>
      </w:r>
      <w:r w:rsidR="009933F7" w:rsidRPr="002C1B42">
        <w:rPr>
          <w:lang w:val="en-US"/>
        </w:rPr>
        <w:t xml:space="preserve">and </w:t>
      </w:r>
      <w:r w:rsidR="009E0EE2" w:rsidRPr="002C1B42">
        <w:rPr>
          <w:lang w:val="en-US"/>
        </w:rPr>
        <w:t xml:space="preserve">strengthens its </w:t>
      </w:r>
      <w:r w:rsidR="000748B0" w:rsidRPr="002C1B42">
        <w:rPr>
          <w:lang w:val="en-US"/>
        </w:rPr>
        <w:t xml:space="preserve">resilience </w:t>
      </w:r>
      <w:r w:rsidR="009E0EE2" w:rsidRPr="002C1B42">
        <w:rPr>
          <w:lang w:val="en-US"/>
        </w:rPr>
        <w:t>to pressure on profitability and capital position caused by</w:t>
      </w:r>
      <w:r w:rsidR="00902C8C" w:rsidRPr="002C1B42">
        <w:rPr>
          <w:lang w:val="en-US"/>
        </w:rPr>
        <w:t xml:space="preserve"> the</w:t>
      </w:r>
      <w:r w:rsidR="009E0EE2" w:rsidRPr="002C1B42">
        <w:rPr>
          <w:lang w:val="en-US"/>
        </w:rPr>
        <w:t xml:space="preserve"> potential rise in non-performing loans and impairments</w:t>
      </w:r>
      <w:r w:rsidR="009E0EE2" w:rsidRPr="00931D14">
        <w:rPr>
          <w:lang w:val="en-US"/>
        </w:rPr>
        <w:t>.</w:t>
      </w:r>
      <w:r w:rsidR="009E0EE2">
        <w:rPr>
          <w:lang w:val="en-US"/>
        </w:rPr>
        <w:t xml:space="preserve"> </w:t>
      </w:r>
    </w:p>
    <w:p w:rsidR="00B941AD" w:rsidRPr="009E1A7C" w:rsidRDefault="00717552" w:rsidP="00765EDD">
      <w:pPr>
        <w:pStyle w:val="04-TEXTFIRST"/>
        <w:rPr>
          <w:lang w:val="en-GB"/>
        </w:rPr>
      </w:pPr>
      <w:r w:rsidRPr="009E1A7C">
        <w:rPr>
          <w:lang w:val="en-GB"/>
        </w:rPr>
        <w:t>Further information about the methodolog</w:t>
      </w:r>
      <w:bookmarkStart w:id="0" w:name="_GoBack"/>
      <w:bookmarkEnd w:id="0"/>
      <w:r w:rsidRPr="009E1A7C">
        <w:rPr>
          <w:lang w:val="en-GB"/>
        </w:rPr>
        <w:t xml:space="preserve">y used and previous decisions is available on the BNB website under the section </w:t>
      </w:r>
      <w:hyperlink r:id="rId8" w:tgtFrame="_top" w:history="1">
        <w:r w:rsidR="007032EB" w:rsidRPr="002A3F5A">
          <w:rPr>
            <w:color w:val="ED7D31" w:themeColor="accent2"/>
            <w:lang w:val="en-GB"/>
          </w:rPr>
          <w:t>Capital Buffers</w:t>
        </w:r>
      </w:hyperlink>
      <w:bookmarkStart w:id="1" w:name="P6_457"/>
      <w:bookmarkEnd w:id="1"/>
      <w:r w:rsidR="007032EB" w:rsidRPr="009E1A7C">
        <w:rPr>
          <w:lang w:val="en-GB"/>
        </w:rPr>
        <w:t>.</w:t>
      </w:r>
    </w:p>
    <w:sectPr w:rsidR="00B941AD" w:rsidRPr="009E1A7C" w:rsidSect="00687A29">
      <w:headerReference w:type="default" r:id="rId9"/>
      <w:footerReference w:type="default" r:id="rId10"/>
      <w:headerReference w:type="first" r:id="rId11"/>
      <w:pgSz w:w="11906" w:h="16838" w:code="9"/>
      <w:pgMar w:top="1438" w:right="851" w:bottom="1440" w:left="1418" w:header="357" w:footer="56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375E" w:rsidRDefault="0000375E">
      <w:r>
        <w:separator/>
      </w:r>
    </w:p>
  </w:endnote>
  <w:endnote w:type="continuationSeparator" w:id="0">
    <w:p w:rsidR="0000375E" w:rsidRDefault="00003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A29" w:rsidRDefault="00687A29" w:rsidP="00687A29">
    <w:pPr>
      <w:pStyle w:val="Footer"/>
      <w:jc w:val="right"/>
    </w:pPr>
    <w:r>
      <w:t xml:space="preserve">с. </w:t>
    </w:r>
    <w:r>
      <w:fldChar w:fldCharType="begin"/>
    </w:r>
    <w:r>
      <w:instrText xml:space="preserve"> PAGE   \* MERGEFORMAT </w:instrText>
    </w:r>
    <w:r>
      <w:fldChar w:fldCharType="separate"/>
    </w:r>
    <w:r w:rsidR="009E0EE2">
      <w:rPr>
        <w:noProof/>
      </w:rPr>
      <w:t>2</w:t>
    </w:r>
    <w:r>
      <w:fldChar w:fldCharType="end"/>
    </w:r>
    <w:r>
      <w:t>/</w:t>
    </w:r>
    <w:r w:rsidR="009A3747">
      <w:rPr>
        <w:noProof/>
      </w:rPr>
      <w:fldChar w:fldCharType="begin"/>
    </w:r>
    <w:r w:rsidR="009A3747">
      <w:rPr>
        <w:noProof/>
      </w:rPr>
      <w:instrText xml:space="preserve"> NUMPAGES   \* MERGEFORMAT </w:instrText>
    </w:r>
    <w:r w:rsidR="009A3747">
      <w:rPr>
        <w:noProof/>
      </w:rPr>
      <w:fldChar w:fldCharType="separate"/>
    </w:r>
    <w:r w:rsidR="009E0EE2">
      <w:rPr>
        <w:noProof/>
      </w:rPr>
      <w:t>2</w:t>
    </w:r>
    <w:r w:rsidR="009A3747">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375E" w:rsidRDefault="0000375E">
      <w:r>
        <w:separator/>
      </w:r>
    </w:p>
  </w:footnote>
  <w:footnote w:type="continuationSeparator" w:id="0">
    <w:p w:rsidR="0000375E" w:rsidRDefault="000037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333" w:rsidRDefault="002F2333">
    <w:pPr>
      <w:pStyle w:val="Header"/>
      <w:tabs>
        <w:tab w:val="center" w:pos="-180"/>
      </w:tabs>
      <w:jc w:val="cent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F5A" w:rsidRPr="002A3F5A" w:rsidRDefault="002A3F5A">
    <w:pPr>
      <w:pStyle w:val="Header"/>
      <w:rPr>
        <w:i w:val="0"/>
      </w:rPr>
    </w:pPr>
    <w:r>
      <w:rPr>
        <w:i w:val="0"/>
        <w:noProof/>
      </w:rPr>
      <w:drawing>
        <wp:inline distT="0" distB="0" distL="0" distR="0">
          <wp:extent cx="6119495" cy="10775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NB_logo_PR_2018_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9495" cy="107759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EB1A0A"/>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14E728A"/>
    <w:multiLevelType w:val="hybridMultilevel"/>
    <w:tmpl w:val="EC18FAFE"/>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15:restartNumberingAfterBreak="0">
    <w:nsid w:val="590321AD"/>
    <w:multiLevelType w:val="hybridMultilevel"/>
    <w:tmpl w:val="0BE4A8A6"/>
    <w:lvl w:ilvl="0" w:tplc="6096CAF0">
      <w:start w:val="1"/>
      <w:numFmt w:val="decimal"/>
      <w:lvlText w:val="%1."/>
      <w:lvlJc w:val="left"/>
      <w:pPr>
        <w:ind w:left="1211" w:hanging="360"/>
      </w:pPr>
      <w:rPr>
        <w:rFonts w:hint="default"/>
      </w:rPr>
    </w:lvl>
    <w:lvl w:ilvl="1" w:tplc="0402000F">
      <w:start w:val="1"/>
      <w:numFmt w:val="decimal"/>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F94"/>
    <w:rsid w:val="00000C6B"/>
    <w:rsid w:val="00001C2C"/>
    <w:rsid w:val="0000375E"/>
    <w:rsid w:val="000058F4"/>
    <w:rsid w:val="00010605"/>
    <w:rsid w:val="00013F1E"/>
    <w:rsid w:val="000146F5"/>
    <w:rsid w:val="000163A8"/>
    <w:rsid w:val="000175F6"/>
    <w:rsid w:val="000204CD"/>
    <w:rsid w:val="00020921"/>
    <w:rsid w:val="000226E6"/>
    <w:rsid w:val="0002623E"/>
    <w:rsid w:val="000339A5"/>
    <w:rsid w:val="0003452D"/>
    <w:rsid w:val="0004284D"/>
    <w:rsid w:val="00042968"/>
    <w:rsid w:val="000441D1"/>
    <w:rsid w:val="00045C09"/>
    <w:rsid w:val="000560BB"/>
    <w:rsid w:val="00065A01"/>
    <w:rsid w:val="0006625E"/>
    <w:rsid w:val="00070512"/>
    <w:rsid w:val="00074490"/>
    <w:rsid w:val="000748B0"/>
    <w:rsid w:val="00074AE6"/>
    <w:rsid w:val="00080ECF"/>
    <w:rsid w:val="00084066"/>
    <w:rsid w:val="000852F1"/>
    <w:rsid w:val="0008549B"/>
    <w:rsid w:val="00091CC9"/>
    <w:rsid w:val="00092F29"/>
    <w:rsid w:val="00094C6E"/>
    <w:rsid w:val="00095EBC"/>
    <w:rsid w:val="00096768"/>
    <w:rsid w:val="0009698F"/>
    <w:rsid w:val="00097AD2"/>
    <w:rsid w:val="000A094A"/>
    <w:rsid w:val="000A16A9"/>
    <w:rsid w:val="000A3F55"/>
    <w:rsid w:val="000A5415"/>
    <w:rsid w:val="000A5D16"/>
    <w:rsid w:val="000B0246"/>
    <w:rsid w:val="000B02AA"/>
    <w:rsid w:val="000B2989"/>
    <w:rsid w:val="000B39A8"/>
    <w:rsid w:val="000B3B9A"/>
    <w:rsid w:val="000B56F5"/>
    <w:rsid w:val="000C1BCF"/>
    <w:rsid w:val="000C2A87"/>
    <w:rsid w:val="000C6D0E"/>
    <w:rsid w:val="000D1E2D"/>
    <w:rsid w:val="000D2F46"/>
    <w:rsid w:val="000D4C23"/>
    <w:rsid w:val="000D4FF0"/>
    <w:rsid w:val="000D5722"/>
    <w:rsid w:val="000E4426"/>
    <w:rsid w:val="000E7590"/>
    <w:rsid w:val="000F04B4"/>
    <w:rsid w:val="000F2E0D"/>
    <w:rsid w:val="001000F9"/>
    <w:rsid w:val="00100F70"/>
    <w:rsid w:val="0010112E"/>
    <w:rsid w:val="0010196D"/>
    <w:rsid w:val="00101F86"/>
    <w:rsid w:val="0010250E"/>
    <w:rsid w:val="0010486F"/>
    <w:rsid w:val="00105587"/>
    <w:rsid w:val="001067EB"/>
    <w:rsid w:val="00113EF4"/>
    <w:rsid w:val="00115386"/>
    <w:rsid w:val="00117B34"/>
    <w:rsid w:val="00122977"/>
    <w:rsid w:val="0013087E"/>
    <w:rsid w:val="0013107F"/>
    <w:rsid w:val="00140A54"/>
    <w:rsid w:val="00140D1B"/>
    <w:rsid w:val="0014161F"/>
    <w:rsid w:val="00142F7D"/>
    <w:rsid w:val="001454B4"/>
    <w:rsid w:val="001470AB"/>
    <w:rsid w:val="0014790D"/>
    <w:rsid w:val="00151155"/>
    <w:rsid w:val="0015343F"/>
    <w:rsid w:val="00154542"/>
    <w:rsid w:val="00156D4C"/>
    <w:rsid w:val="0015716C"/>
    <w:rsid w:val="00157420"/>
    <w:rsid w:val="001677D4"/>
    <w:rsid w:val="00167FAB"/>
    <w:rsid w:val="00170B11"/>
    <w:rsid w:val="00170EC0"/>
    <w:rsid w:val="001732C3"/>
    <w:rsid w:val="00175278"/>
    <w:rsid w:val="0017593A"/>
    <w:rsid w:val="00181A6A"/>
    <w:rsid w:val="0018431A"/>
    <w:rsid w:val="00184D21"/>
    <w:rsid w:val="00187C44"/>
    <w:rsid w:val="00190AD1"/>
    <w:rsid w:val="001A2AA5"/>
    <w:rsid w:val="001A3BF3"/>
    <w:rsid w:val="001B0803"/>
    <w:rsid w:val="001B3AA3"/>
    <w:rsid w:val="001B449D"/>
    <w:rsid w:val="001B471B"/>
    <w:rsid w:val="001B5622"/>
    <w:rsid w:val="001B74F6"/>
    <w:rsid w:val="001C0844"/>
    <w:rsid w:val="001C58C8"/>
    <w:rsid w:val="001C74A4"/>
    <w:rsid w:val="001D1749"/>
    <w:rsid w:val="001D2EFC"/>
    <w:rsid w:val="001D6DB3"/>
    <w:rsid w:val="001E1BF3"/>
    <w:rsid w:val="001E340D"/>
    <w:rsid w:val="001E69A2"/>
    <w:rsid w:val="001E6EB2"/>
    <w:rsid w:val="001E718D"/>
    <w:rsid w:val="001F7307"/>
    <w:rsid w:val="001F73E5"/>
    <w:rsid w:val="001F7C36"/>
    <w:rsid w:val="00200F75"/>
    <w:rsid w:val="00206560"/>
    <w:rsid w:val="00207D08"/>
    <w:rsid w:val="00210180"/>
    <w:rsid w:val="0021770F"/>
    <w:rsid w:val="002228F8"/>
    <w:rsid w:val="00223FA1"/>
    <w:rsid w:val="00233666"/>
    <w:rsid w:val="00235BF8"/>
    <w:rsid w:val="00242C05"/>
    <w:rsid w:val="00244623"/>
    <w:rsid w:val="00245783"/>
    <w:rsid w:val="00247B36"/>
    <w:rsid w:val="00253764"/>
    <w:rsid w:val="00254439"/>
    <w:rsid w:val="00254C39"/>
    <w:rsid w:val="00262E64"/>
    <w:rsid w:val="0026707C"/>
    <w:rsid w:val="00270EBD"/>
    <w:rsid w:val="002719ED"/>
    <w:rsid w:val="00274C5A"/>
    <w:rsid w:val="00281655"/>
    <w:rsid w:val="0028239A"/>
    <w:rsid w:val="002902F5"/>
    <w:rsid w:val="00295240"/>
    <w:rsid w:val="00295357"/>
    <w:rsid w:val="002A1CD9"/>
    <w:rsid w:val="002A214D"/>
    <w:rsid w:val="002A2A49"/>
    <w:rsid w:val="002A3F5A"/>
    <w:rsid w:val="002A42B8"/>
    <w:rsid w:val="002A44C2"/>
    <w:rsid w:val="002A46E6"/>
    <w:rsid w:val="002A7FD9"/>
    <w:rsid w:val="002B2CB5"/>
    <w:rsid w:val="002B62A6"/>
    <w:rsid w:val="002B7470"/>
    <w:rsid w:val="002C1B42"/>
    <w:rsid w:val="002C268D"/>
    <w:rsid w:val="002C3E58"/>
    <w:rsid w:val="002C4795"/>
    <w:rsid w:val="002C652E"/>
    <w:rsid w:val="002C7472"/>
    <w:rsid w:val="002C7D6F"/>
    <w:rsid w:val="002D0173"/>
    <w:rsid w:val="002D09AA"/>
    <w:rsid w:val="002D291F"/>
    <w:rsid w:val="002D59E8"/>
    <w:rsid w:val="002E6065"/>
    <w:rsid w:val="002E64CE"/>
    <w:rsid w:val="002E7F40"/>
    <w:rsid w:val="002F1E64"/>
    <w:rsid w:val="002F2333"/>
    <w:rsid w:val="002F5920"/>
    <w:rsid w:val="002F79F8"/>
    <w:rsid w:val="003037F7"/>
    <w:rsid w:val="003051AB"/>
    <w:rsid w:val="00306E59"/>
    <w:rsid w:val="00310C83"/>
    <w:rsid w:val="003209D9"/>
    <w:rsid w:val="0032134C"/>
    <w:rsid w:val="0032386F"/>
    <w:rsid w:val="00330595"/>
    <w:rsid w:val="00330655"/>
    <w:rsid w:val="00334E49"/>
    <w:rsid w:val="00335994"/>
    <w:rsid w:val="00336EE3"/>
    <w:rsid w:val="003372EB"/>
    <w:rsid w:val="003372F3"/>
    <w:rsid w:val="003373B4"/>
    <w:rsid w:val="00342816"/>
    <w:rsid w:val="00346376"/>
    <w:rsid w:val="0035149A"/>
    <w:rsid w:val="003517A5"/>
    <w:rsid w:val="00355A67"/>
    <w:rsid w:val="0035647C"/>
    <w:rsid w:val="00364365"/>
    <w:rsid w:val="00370C41"/>
    <w:rsid w:val="00374257"/>
    <w:rsid w:val="00375D0D"/>
    <w:rsid w:val="0038074C"/>
    <w:rsid w:val="00380BB0"/>
    <w:rsid w:val="00382973"/>
    <w:rsid w:val="00382D1F"/>
    <w:rsid w:val="003858EF"/>
    <w:rsid w:val="003876EE"/>
    <w:rsid w:val="00390360"/>
    <w:rsid w:val="00396A59"/>
    <w:rsid w:val="003A03CB"/>
    <w:rsid w:val="003A1231"/>
    <w:rsid w:val="003A4B36"/>
    <w:rsid w:val="003A4C25"/>
    <w:rsid w:val="003A4EFC"/>
    <w:rsid w:val="003A5600"/>
    <w:rsid w:val="003A6C55"/>
    <w:rsid w:val="003B0353"/>
    <w:rsid w:val="003B1432"/>
    <w:rsid w:val="003B2844"/>
    <w:rsid w:val="003B73F6"/>
    <w:rsid w:val="003C2581"/>
    <w:rsid w:val="003C3459"/>
    <w:rsid w:val="003D2BFF"/>
    <w:rsid w:val="003D590D"/>
    <w:rsid w:val="003D680D"/>
    <w:rsid w:val="003E0015"/>
    <w:rsid w:val="003F28FA"/>
    <w:rsid w:val="003F3006"/>
    <w:rsid w:val="003F5FEE"/>
    <w:rsid w:val="003F7918"/>
    <w:rsid w:val="003F7C0A"/>
    <w:rsid w:val="00402387"/>
    <w:rsid w:val="00404386"/>
    <w:rsid w:val="00406A2C"/>
    <w:rsid w:val="0040753E"/>
    <w:rsid w:val="00410C1E"/>
    <w:rsid w:val="004164A9"/>
    <w:rsid w:val="0042160C"/>
    <w:rsid w:val="00423825"/>
    <w:rsid w:val="00423D46"/>
    <w:rsid w:val="004306E0"/>
    <w:rsid w:val="004312CB"/>
    <w:rsid w:val="00433146"/>
    <w:rsid w:val="00434690"/>
    <w:rsid w:val="00434D8C"/>
    <w:rsid w:val="004364FF"/>
    <w:rsid w:val="00436D05"/>
    <w:rsid w:val="00436FA3"/>
    <w:rsid w:val="0043735E"/>
    <w:rsid w:val="00437D81"/>
    <w:rsid w:val="00437F92"/>
    <w:rsid w:val="00440E00"/>
    <w:rsid w:val="0044166C"/>
    <w:rsid w:val="004449DF"/>
    <w:rsid w:val="00447FF2"/>
    <w:rsid w:val="00460471"/>
    <w:rsid w:val="00461293"/>
    <w:rsid w:val="00463F3A"/>
    <w:rsid w:val="00473DDA"/>
    <w:rsid w:val="004771E7"/>
    <w:rsid w:val="00483C8F"/>
    <w:rsid w:val="00487754"/>
    <w:rsid w:val="0049072A"/>
    <w:rsid w:val="00495489"/>
    <w:rsid w:val="00496E0C"/>
    <w:rsid w:val="004A69FF"/>
    <w:rsid w:val="004A6A1C"/>
    <w:rsid w:val="004B004F"/>
    <w:rsid w:val="004B181A"/>
    <w:rsid w:val="004B5165"/>
    <w:rsid w:val="004B58EC"/>
    <w:rsid w:val="004B7321"/>
    <w:rsid w:val="004C209A"/>
    <w:rsid w:val="004C2467"/>
    <w:rsid w:val="004D0786"/>
    <w:rsid w:val="004D20B5"/>
    <w:rsid w:val="004D5BC1"/>
    <w:rsid w:val="004E03DA"/>
    <w:rsid w:val="004E07F8"/>
    <w:rsid w:val="004E23A5"/>
    <w:rsid w:val="004E437C"/>
    <w:rsid w:val="004E5FA4"/>
    <w:rsid w:val="004F3824"/>
    <w:rsid w:val="004F624F"/>
    <w:rsid w:val="005014D9"/>
    <w:rsid w:val="005057AE"/>
    <w:rsid w:val="005068EB"/>
    <w:rsid w:val="00507AC7"/>
    <w:rsid w:val="0051153E"/>
    <w:rsid w:val="0052020A"/>
    <w:rsid w:val="00525DF2"/>
    <w:rsid w:val="00526206"/>
    <w:rsid w:val="005347E8"/>
    <w:rsid w:val="00535B9C"/>
    <w:rsid w:val="00535D29"/>
    <w:rsid w:val="00535DF0"/>
    <w:rsid w:val="00535ED6"/>
    <w:rsid w:val="005412C3"/>
    <w:rsid w:val="005463B0"/>
    <w:rsid w:val="00550063"/>
    <w:rsid w:val="00550EF1"/>
    <w:rsid w:val="0055674F"/>
    <w:rsid w:val="00557104"/>
    <w:rsid w:val="0056131E"/>
    <w:rsid w:val="00567C15"/>
    <w:rsid w:val="0057455F"/>
    <w:rsid w:val="005809E7"/>
    <w:rsid w:val="0058212D"/>
    <w:rsid w:val="0058376D"/>
    <w:rsid w:val="00590F76"/>
    <w:rsid w:val="0059269E"/>
    <w:rsid w:val="00593A9B"/>
    <w:rsid w:val="005979D7"/>
    <w:rsid w:val="00597E82"/>
    <w:rsid w:val="005A0334"/>
    <w:rsid w:val="005A0496"/>
    <w:rsid w:val="005A0FB1"/>
    <w:rsid w:val="005A10D8"/>
    <w:rsid w:val="005A4518"/>
    <w:rsid w:val="005A5C8F"/>
    <w:rsid w:val="005A5E13"/>
    <w:rsid w:val="005A73B5"/>
    <w:rsid w:val="005B0208"/>
    <w:rsid w:val="005B4CC7"/>
    <w:rsid w:val="005B76B4"/>
    <w:rsid w:val="005C13B9"/>
    <w:rsid w:val="005C2730"/>
    <w:rsid w:val="005C5919"/>
    <w:rsid w:val="005C785D"/>
    <w:rsid w:val="005D41C5"/>
    <w:rsid w:val="005D6E56"/>
    <w:rsid w:val="005D7748"/>
    <w:rsid w:val="005E6ED5"/>
    <w:rsid w:val="005F0B6E"/>
    <w:rsid w:val="005F1DD8"/>
    <w:rsid w:val="005F3AEF"/>
    <w:rsid w:val="005F4F94"/>
    <w:rsid w:val="005F54FB"/>
    <w:rsid w:val="00600078"/>
    <w:rsid w:val="00600807"/>
    <w:rsid w:val="006108DB"/>
    <w:rsid w:val="00611A80"/>
    <w:rsid w:val="0062195F"/>
    <w:rsid w:val="00622DB5"/>
    <w:rsid w:val="00625977"/>
    <w:rsid w:val="0062735C"/>
    <w:rsid w:val="00630E54"/>
    <w:rsid w:val="00633F21"/>
    <w:rsid w:val="0063591C"/>
    <w:rsid w:val="00637935"/>
    <w:rsid w:val="0064061D"/>
    <w:rsid w:val="00640632"/>
    <w:rsid w:val="006418A8"/>
    <w:rsid w:val="00645D2E"/>
    <w:rsid w:val="0064790E"/>
    <w:rsid w:val="00651ABF"/>
    <w:rsid w:val="00656420"/>
    <w:rsid w:val="00656D58"/>
    <w:rsid w:val="00662C12"/>
    <w:rsid w:val="006630C4"/>
    <w:rsid w:val="00663D45"/>
    <w:rsid w:val="00664566"/>
    <w:rsid w:val="006672B9"/>
    <w:rsid w:val="00671EB7"/>
    <w:rsid w:val="0067209B"/>
    <w:rsid w:val="00681039"/>
    <w:rsid w:val="006821BF"/>
    <w:rsid w:val="00682A69"/>
    <w:rsid w:val="00687A29"/>
    <w:rsid w:val="0069312E"/>
    <w:rsid w:val="00693131"/>
    <w:rsid w:val="006944B4"/>
    <w:rsid w:val="006A12F0"/>
    <w:rsid w:val="006A1FA3"/>
    <w:rsid w:val="006A23CD"/>
    <w:rsid w:val="006A2E68"/>
    <w:rsid w:val="006A35B8"/>
    <w:rsid w:val="006A37E4"/>
    <w:rsid w:val="006A3A31"/>
    <w:rsid w:val="006A4C90"/>
    <w:rsid w:val="006A591C"/>
    <w:rsid w:val="006A6ED9"/>
    <w:rsid w:val="006B0303"/>
    <w:rsid w:val="006B05EC"/>
    <w:rsid w:val="006B52CE"/>
    <w:rsid w:val="006C6BE4"/>
    <w:rsid w:val="006C7834"/>
    <w:rsid w:val="006D0161"/>
    <w:rsid w:val="006D0A4D"/>
    <w:rsid w:val="006D2FD4"/>
    <w:rsid w:val="006D4242"/>
    <w:rsid w:val="006D629D"/>
    <w:rsid w:val="006E10CB"/>
    <w:rsid w:val="006E3827"/>
    <w:rsid w:val="006E724D"/>
    <w:rsid w:val="006E7493"/>
    <w:rsid w:val="006E7FFE"/>
    <w:rsid w:val="0070118B"/>
    <w:rsid w:val="007032EB"/>
    <w:rsid w:val="007040E0"/>
    <w:rsid w:val="0070792B"/>
    <w:rsid w:val="00707DCE"/>
    <w:rsid w:val="00711483"/>
    <w:rsid w:val="00711739"/>
    <w:rsid w:val="007127FB"/>
    <w:rsid w:val="00717552"/>
    <w:rsid w:val="00717C6D"/>
    <w:rsid w:val="00720F44"/>
    <w:rsid w:val="0072387E"/>
    <w:rsid w:val="00724001"/>
    <w:rsid w:val="0072745E"/>
    <w:rsid w:val="007303B2"/>
    <w:rsid w:val="00731EA7"/>
    <w:rsid w:val="00734399"/>
    <w:rsid w:val="00735468"/>
    <w:rsid w:val="00737432"/>
    <w:rsid w:val="00740AC9"/>
    <w:rsid w:val="00743F57"/>
    <w:rsid w:val="00751DFE"/>
    <w:rsid w:val="00752665"/>
    <w:rsid w:val="00753769"/>
    <w:rsid w:val="00760897"/>
    <w:rsid w:val="007609C6"/>
    <w:rsid w:val="007632CF"/>
    <w:rsid w:val="00765B4D"/>
    <w:rsid w:val="00765EDD"/>
    <w:rsid w:val="00773152"/>
    <w:rsid w:val="007800F3"/>
    <w:rsid w:val="00787AC9"/>
    <w:rsid w:val="00790008"/>
    <w:rsid w:val="00790046"/>
    <w:rsid w:val="00790853"/>
    <w:rsid w:val="00796DD9"/>
    <w:rsid w:val="007A1EB5"/>
    <w:rsid w:val="007A5284"/>
    <w:rsid w:val="007B1B65"/>
    <w:rsid w:val="007B3341"/>
    <w:rsid w:val="007B6207"/>
    <w:rsid w:val="007B6F5A"/>
    <w:rsid w:val="007B7646"/>
    <w:rsid w:val="007C1AB9"/>
    <w:rsid w:val="007C4583"/>
    <w:rsid w:val="007C4727"/>
    <w:rsid w:val="007C773A"/>
    <w:rsid w:val="007D1421"/>
    <w:rsid w:val="007D6D71"/>
    <w:rsid w:val="007E11D2"/>
    <w:rsid w:val="007E1DC5"/>
    <w:rsid w:val="007E420C"/>
    <w:rsid w:val="007E6033"/>
    <w:rsid w:val="00800011"/>
    <w:rsid w:val="008013D7"/>
    <w:rsid w:val="00803EB0"/>
    <w:rsid w:val="00814838"/>
    <w:rsid w:val="00823249"/>
    <w:rsid w:val="00823A98"/>
    <w:rsid w:val="008249C8"/>
    <w:rsid w:val="00825016"/>
    <w:rsid w:val="00831118"/>
    <w:rsid w:val="00834D16"/>
    <w:rsid w:val="008360ED"/>
    <w:rsid w:val="00837C64"/>
    <w:rsid w:val="00840044"/>
    <w:rsid w:val="008402F5"/>
    <w:rsid w:val="008408B1"/>
    <w:rsid w:val="00841BD8"/>
    <w:rsid w:val="008442E7"/>
    <w:rsid w:val="008471CB"/>
    <w:rsid w:val="00847EE8"/>
    <w:rsid w:val="008519FF"/>
    <w:rsid w:val="00852547"/>
    <w:rsid w:val="00856A3D"/>
    <w:rsid w:val="00862DE1"/>
    <w:rsid w:val="0086771B"/>
    <w:rsid w:val="008727EE"/>
    <w:rsid w:val="00880CF8"/>
    <w:rsid w:val="00880E1C"/>
    <w:rsid w:val="008832A5"/>
    <w:rsid w:val="00883C98"/>
    <w:rsid w:val="0088564D"/>
    <w:rsid w:val="00887072"/>
    <w:rsid w:val="00890027"/>
    <w:rsid w:val="0089215D"/>
    <w:rsid w:val="008946C2"/>
    <w:rsid w:val="00895BC6"/>
    <w:rsid w:val="008A4A03"/>
    <w:rsid w:val="008A6B58"/>
    <w:rsid w:val="008A6DB7"/>
    <w:rsid w:val="008A7177"/>
    <w:rsid w:val="008B2367"/>
    <w:rsid w:val="008B6856"/>
    <w:rsid w:val="008C16D1"/>
    <w:rsid w:val="008C2F44"/>
    <w:rsid w:val="008D501E"/>
    <w:rsid w:val="008D5882"/>
    <w:rsid w:val="008E2553"/>
    <w:rsid w:val="008E543C"/>
    <w:rsid w:val="008F0E3B"/>
    <w:rsid w:val="008F69C9"/>
    <w:rsid w:val="008F6DCC"/>
    <w:rsid w:val="008F70AC"/>
    <w:rsid w:val="008F782F"/>
    <w:rsid w:val="009002B0"/>
    <w:rsid w:val="0090056E"/>
    <w:rsid w:val="00902C8C"/>
    <w:rsid w:val="009067F2"/>
    <w:rsid w:val="00906AAA"/>
    <w:rsid w:val="00910A41"/>
    <w:rsid w:val="00913669"/>
    <w:rsid w:val="00915B28"/>
    <w:rsid w:val="009208A0"/>
    <w:rsid w:val="00920D2B"/>
    <w:rsid w:val="009245FE"/>
    <w:rsid w:val="00925C50"/>
    <w:rsid w:val="009310C7"/>
    <w:rsid w:val="00931D14"/>
    <w:rsid w:val="0093334B"/>
    <w:rsid w:val="00933BE6"/>
    <w:rsid w:val="009342E2"/>
    <w:rsid w:val="00934EDF"/>
    <w:rsid w:val="009377A1"/>
    <w:rsid w:val="00941B4C"/>
    <w:rsid w:val="009432FA"/>
    <w:rsid w:val="0094340B"/>
    <w:rsid w:val="009455E5"/>
    <w:rsid w:val="009471AF"/>
    <w:rsid w:val="009541B5"/>
    <w:rsid w:val="00962582"/>
    <w:rsid w:val="00963C04"/>
    <w:rsid w:val="0097084C"/>
    <w:rsid w:val="00972637"/>
    <w:rsid w:val="0097759B"/>
    <w:rsid w:val="0098086E"/>
    <w:rsid w:val="00982BA0"/>
    <w:rsid w:val="00985BB2"/>
    <w:rsid w:val="0098758C"/>
    <w:rsid w:val="0099267F"/>
    <w:rsid w:val="00992913"/>
    <w:rsid w:val="009933F7"/>
    <w:rsid w:val="009A2733"/>
    <w:rsid w:val="009A3747"/>
    <w:rsid w:val="009B101A"/>
    <w:rsid w:val="009B1E22"/>
    <w:rsid w:val="009B226B"/>
    <w:rsid w:val="009B321B"/>
    <w:rsid w:val="009C10F0"/>
    <w:rsid w:val="009C66BD"/>
    <w:rsid w:val="009D1198"/>
    <w:rsid w:val="009D1E24"/>
    <w:rsid w:val="009D21C4"/>
    <w:rsid w:val="009D49E6"/>
    <w:rsid w:val="009D5902"/>
    <w:rsid w:val="009D6BA8"/>
    <w:rsid w:val="009E0EE2"/>
    <w:rsid w:val="009E1A7C"/>
    <w:rsid w:val="009E26F9"/>
    <w:rsid w:val="009E3C5D"/>
    <w:rsid w:val="009E7D8D"/>
    <w:rsid w:val="009F034C"/>
    <w:rsid w:val="009F3DE4"/>
    <w:rsid w:val="009F43AD"/>
    <w:rsid w:val="009F4515"/>
    <w:rsid w:val="009F79F8"/>
    <w:rsid w:val="00A0011D"/>
    <w:rsid w:val="00A008BF"/>
    <w:rsid w:val="00A00F42"/>
    <w:rsid w:val="00A017A2"/>
    <w:rsid w:val="00A14FB7"/>
    <w:rsid w:val="00A165D9"/>
    <w:rsid w:val="00A20601"/>
    <w:rsid w:val="00A32DD2"/>
    <w:rsid w:val="00A34BF3"/>
    <w:rsid w:val="00A43968"/>
    <w:rsid w:val="00A43B2D"/>
    <w:rsid w:val="00A44671"/>
    <w:rsid w:val="00A45A90"/>
    <w:rsid w:val="00A46D02"/>
    <w:rsid w:val="00A4778F"/>
    <w:rsid w:val="00A51EF4"/>
    <w:rsid w:val="00A54064"/>
    <w:rsid w:val="00A56E9F"/>
    <w:rsid w:val="00A621F2"/>
    <w:rsid w:val="00A63123"/>
    <w:rsid w:val="00A631E7"/>
    <w:rsid w:val="00A66742"/>
    <w:rsid w:val="00A738C8"/>
    <w:rsid w:val="00A775A8"/>
    <w:rsid w:val="00A77EB2"/>
    <w:rsid w:val="00A83A12"/>
    <w:rsid w:val="00A85466"/>
    <w:rsid w:val="00A87787"/>
    <w:rsid w:val="00AA0C34"/>
    <w:rsid w:val="00AA1FE3"/>
    <w:rsid w:val="00AA25ED"/>
    <w:rsid w:val="00AA2732"/>
    <w:rsid w:val="00AA6172"/>
    <w:rsid w:val="00AA61C2"/>
    <w:rsid w:val="00AB1002"/>
    <w:rsid w:val="00AC24A0"/>
    <w:rsid w:val="00AC6125"/>
    <w:rsid w:val="00AC7574"/>
    <w:rsid w:val="00AC77F2"/>
    <w:rsid w:val="00AC7A42"/>
    <w:rsid w:val="00AD1C8A"/>
    <w:rsid w:val="00AD2488"/>
    <w:rsid w:val="00AD5308"/>
    <w:rsid w:val="00AD7B2C"/>
    <w:rsid w:val="00AE08A0"/>
    <w:rsid w:val="00AE224B"/>
    <w:rsid w:val="00AE53CF"/>
    <w:rsid w:val="00AE6BFD"/>
    <w:rsid w:val="00AF356D"/>
    <w:rsid w:val="00AF3D1B"/>
    <w:rsid w:val="00AF5275"/>
    <w:rsid w:val="00AF59FF"/>
    <w:rsid w:val="00AF743D"/>
    <w:rsid w:val="00B00989"/>
    <w:rsid w:val="00B01B46"/>
    <w:rsid w:val="00B02768"/>
    <w:rsid w:val="00B0334A"/>
    <w:rsid w:val="00B0383B"/>
    <w:rsid w:val="00B06819"/>
    <w:rsid w:val="00B13C91"/>
    <w:rsid w:val="00B1699B"/>
    <w:rsid w:val="00B16CE1"/>
    <w:rsid w:val="00B23060"/>
    <w:rsid w:val="00B23771"/>
    <w:rsid w:val="00B27FB6"/>
    <w:rsid w:val="00B3799F"/>
    <w:rsid w:val="00B37CB1"/>
    <w:rsid w:val="00B37D8C"/>
    <w:rsid w:val="00B413FC"/>
    <w:rsid w:val="00B43D0D"/>
    <w:rsid w:val="00B4439C"/>
    <w:rsid w:val="00B44FAE"/>
    <w:rsid w:val="00B47F23"/>
    <w:rsid w:val="00B50827"/>
    <w:rsid w:val="00B516C0"/>
    <w:rsid w:val="00B5283C"/>
    <w:rsid w:val="00B55535"/>
    <w:rsid w:val="00B60C0D"/>
    <w:rsid w:val="00B627C5"/>
    <w:rsid w:val="00B63FBE"/>
    <w:rsid w:val="00B67CCF"/>
    <w:rsid w:val="00B71FFD"/>
    <w:rsid w:val="00B72509"/>
    <w:rsid w:val="00B7345B"/>
    <w:rsid w:val="00B75464"/>
    <w:rsid w:val="00B75AA4"/>
    <w:rsid w:val="00B75B89"/>
    <w:rsid w:val="00B7773A"/>
    <w:rsid w:val="00B845BF"/>
    <w:rsid w:val="00B85EF0"/>
    <w:rsid w:val="00B8639B"/>
    <w:rsid w:val="00B901ED"/>
    <w:rsid w:val="00B932A4"/>
    <w:rsid w:val="00B941AD"/>
    <w:rsid w:val="00B972B5"/>
    <w:rsid w:val="00BA03E3"/>
    <w:rsid w:val="00BA1DFE"/>
    <w:rsid w:val="00BA2AA4"/>
    <w:rsid w:val="00BA3406"/>
    <w:rsid w:val="00BA41BF"/>
    <w:rsid w:val="00BB0650"/>
    <w:rsid w:val="00BB16E3"/>
    <w:rsid w:val="00BB2520"/>
    <w:rsid w:val="00BB3566"/>
    <w:rsid w:val="00BC1049"/>
    <w:rsid w:val="00BC20F4"/>
    <w:rsid w:val="00BC32F8"/>
    <w:rsid w:val="00BC4BC7"/>
    <w:rsid w:val="00BC4F2C"/>
    <w:rsid w:val="00BC4F56"/>
    <w:rsid w:val="00BC50C7"/>
    <w:rsid w:val="00BC75AE"/>
    <w:rsid w:val="00BD1397"/>
    <w:rsid w:val="00BD2BCA"/>
    <w:rsid w:val="00BD3346"/>
    <w:rsid w:val="00BE0A95"/>
    <w:rsid w:val="00BE1516"/>
    <w:rsid w:val="00BE5493"/>
    <w:rsid w:val="00BF0D2A"/>
    <w:rsid w:val="00BF2C1B"/>
    <w:rsid w:val="00BF3507"/>
    <w:rsid w:val="00BF35A5"/>
    <w:rsid w:val="00BF3D21"/>
    <w:rsid w:val="00BF4094"/>
    <w:rsid w:val="00BF422F"/>
    <w:rsid w:val="00C0559B"/>
    <w:rsid w:val="00C06C65"/>
    <w:rsid w:val="00C073F5"/>
    <w:rsid w:val="00C074F1"/>
    <w:rsid w:val="00C138C3"/>
    <w:rsid w:val="00C13E06"/>
    <w:rsid w:val="00C216BD"/>
    <w:rsid w:val="00C22358"/>
    <w:rsid w:val="00C22734"/>
    <w:rsid w:val="00C2388E"/>
    <w:rsid w:val="00C24C9C"/>
    <w:rsid w:val="00C25F8C"/>
    <w:rsid w:val="00C26613"/>
    <w:rsid w:val="00C27DAA"/>
    <w:rsid w:val="00C3214C"/>
    <w:rsid w:val="00C33CFD"/>
    <w:rsid w:val="00C34855"/>
    <w:rsid w:val="00C3686D"/>
    <w:rsid w:val="00C42B38"/>
    <w:rsid w:val="00C448B5"/>
    <w:rsid w:val="00C44F52"/>
    <w:rsid w:val="00C51B4E"/>
    <w:rsid w:val="00C53C03"/>
    <w:rsid w:val="00C60EFC"/>
    <w:rsid w:val="00C678D3"/>
    <w:rsid w:val="00C72148"/>
    <w:rsid w:val="00C73A08"/>
    <w:rsid w:val="00C74144"/>
    <w:rsid w:val="00C7445D"/>
    <w:rsid w:val="00C75736"/>
    <w:rsid w:val="00C771E3"/>
    <w:rsid w:val="00C772E0"/>
    <w:rsid w:val="00C802C2"/>
    <w:rsid w:val="00C821EF"/>
    <w:rsid w:val="00C82C58"/>
    <w:rsid w:val="00C839D6"/>
    <w:rsid w:val="00C87511"/>
    <w:rsid w:val="00C91867"/>
    <w:rsid w:val="00C94B3C"/>
    <w:rsid w:val="00C94C7D"/>
    <w:rsid w:val="00C96C49"/>
    <w:rsid w:val="00C9774F"/>
    <w:rsid w:val="00CA0597"/>
    <w:rsid w:val="00CA08DF"/>
    <w:rsid w:val="00CA5068"/>
    <w:rsid w:val="00CA720C"/>
    <w:rsid w:val="00CB162C"/>
    <w:rsid w:val="00CB3D39"/>
    <w:rsid w:val="00CC3E76"/>
    <w:rsid w:val="00CC5699"/>
    <w:rsid w:val="00CD09A9"/>
    <w:rsid w:val="00CD0FE9"/>
    <w:rsid w:val="00CD2694"/>
    <w:rsid w:val="00CD35B7"/>
    <w:rsid w:val="00CD4205"/>
    <w:rsid w:val="00CD4F32"/>
    <w:rsid w:val="00CD798C"/>
    <w:rsid w:val="00CE1873"/>
    <w:rsid w:val="00CE3E2A"/>
    <w:rsid w:val="00CE3E6B"/>
    <w:rsid w:val="00CE4BEA"/>
    <w:rsid w:val="00CF0AF4"/>
    <w:rsid w:val="00CF22C1"/>
    <w:rsid w:val="00CF48E3"/>
    <w:rsid w:val="00D00689"/>
    <w:rsid w:val="00D0137E"/>
    <w:rsid w:val="00D01E0F"/>
    <w:rsid w:val="00D0428D"/>
    <w:rsid w:val="00D100E8"/>
    <w:rsid w:val="00D11895"/>
    <w:rsid w:val="00D12A30"/>
    <w:rsid w:val="00D137C9"/>
    <w:rsid w:val="00D1587F"/>
    <w:rsid w:val="00D20279"/>
    <w:rsid w:val="00D207AB"/>
    <w:rsid w:val="00D22FC2"/>
    <w:rsid w:val="00D26DE1"/>
    <w:rsid w:val="00D3174F"/>
    <w:rsid w:val="00D331CE"/>
    <w:rsid w:val="00D342A0"/>
    <w:rsid w:val="00D34FCE"/>
    <w:rsid w:val="00D416C8"/>
    <w:rsid w:val="00D41946"/>
    <w:rsid w:val="00D4362A"/>
    <w:rsid w:val="00D4456B"/>
    <w:rsid w:val="00D50E35"/>
    <w:rsid w:val="00D53254"/>
    <w:rsid w:val="00D55B79"/>
    <w:rsid w:val="00D56A0B"/>
    <w:rsid w:val="00D5742D"/>
    <w:rsid w:val="00D60DCD"/>
    <w:rsid w:val="00D6113A"/>
    <w:rsid w:val="00D61DE8"/>
    <w:rsid w:val="00D63B72"/>
    <w:rsid w:val="00D64D55"/>
    <w:rsid w:val="00D66009"/>
    <w:rsid w:val="00D66081"/>
    <w:rsid w:val="00D72A31"/>
    <w:rsid w:val="00D758DA"/>
    <w:rsid w:val="00D758DB"/>
    <w:rsid w:val="00D76532"/>
    <w:rsid w:val="00D77A63"/>
    <w:rsid w:val="00D804B3"/>
    <w:rsid w:val="00D80F5A"/>
    <w:rsid w:val="00D8446B"/>
    <w:rsid w:val="00D91240"/>
    <w:rsid w:val="00D9329C"/>
    <w:rsid w:val="00D93660"/>
    <w:rsid w:val="00D93E64"/>
    <w:rsid w:val="00D964B8"/>
    <w:rsid w:val="00D9795D"/>
    <w:rsid w:val="00DA0143"/>
    <w:rsid w:val="00DA0B6C"/>
    <w:rsid w:val="00DA1794"/>
    <w:rsid w:val="00DA1F74"/>
    <w:rsid w:val="00DA3A65"/>
    <w:rsid w:val="00DA45B5"/>
    <w:rsid w:val="00DA7D13"/>
    <w:rsid w:val="00DB6036"/>
    <w:rsid w:val="00DB6720"/>
    <w:rsid w:val="00DC08C8"/>
    <w:rsid w:val="00DC2AB4"/>
    <w:rsid w:val="00DC55F1"/>
    <w:rsid w:val="00DC6A87"/>
    <w:rsid w:val="00DD351A"/>
    <w:rsid w:val="00DD42CE"/>
    <w:rsid w:val="00DD64D0"/>
    <w:rsid w:val="00DD6D91"/>
    <w:rsid w:val="00DD7A3F"/>
    <w:rsid w:val="00DE1795"/>
    <w:rsid w:val="00DE54B3"/>
    <w:rsid w:val="00DE5CBD"/>
    <w:rsid w:val="00DF0F97"/>
    <w:rsid w:val="00DF2DEF"/>
    <w:rsid w:val="00E0175F"/>
    <w:rsid w:val="00E04C3B"/>
    <w:rsid w:val="00E04EE8"/>
    <w:rsid w:val="00E07C83"/>
    <w:rsid w:val="00E13B0C"/>
    <w:rsid w:val="00E13F26"/>
    <w:rsid w:val="00E15406"/>
    <w:rsid w:val="00E172B1"/>
    <w:rsid w:val="00E175C7"/>
    <w:rsid w:val="00E25196"/>
    <w:rsid w:val="00E300BF"/>
    <w:rsid w:val="00E30C46"/>
    <w:rsid w:val="00E31DED"/>
    <w:rsid w:val="00E34B6D"/>
    <w:rsid w:val="00E3785A"/>
    <w:rsid w:val="00E4172D"/>
    <w:rsid w:val="00E42901"/>
    <w:rsid w:val="00E4465A"/>
    <w:rsid w:val="00E523D0"/>
    <w:rsid w:val="00E529BE"/>
    <w:rsid w:val="00E52AA9"/>
    <w:rsid w:val="00E540DC"/>
    <w:rsid w:val="00E55C03"/>
    <w:rsid w:val="00E57312"/>
    <w:rsid w:val="00E57C66"/>
    <w:rsid w:val="00E65B32"/>
    <w:rsid w:val="00E661EC"/>
    <w:rsid w:val="00E67684"/>
    <w:rsid w:val="00E708D2"/>
    <w:rsid w:val="00E72CB1"/>
    <w:rsid w:val="00E73AAA"/>
    <w:rsid w:val="00E7576C"/>
    <w:rsid w:val="00E7770D"/>
    <w:rsid w:val="00E84A03"/>
    <w:rsid w:val="00E850A5"/>
    <w:rsid w:val="00E92D16"/>
    <w:rsid w:val="00E933EE"/>
    <w:rsid w:val="00E9348F"/>
    <w:rsid w:val="00E95603"/>
    <w:rsid w:val="00EA1762"/>
    <w:rsid w:val="00EA492E"/>
    <w:rsid w:val="00EA5A80"/>
    <w:rsid w:val="00EB02A0"/>
    <w:rsid w:val="00EB11EC"/>
    <w:rsid w:val="00EB4968"/>
    <w:rsid w:val="00EC0160"/>
    <w:rsid w:val="00EC39F4"/>
    <w:rsid w:val="00EC4A23"/>
    <w:rsid w:val="00EC509A"/>
    <w:rsid w:val="00EC6DBC"/>
    <w:rsid w:val="00ED0508"/>
    <w:rsid w:val="00ED18F1"/>
    <w:rsid w:val="00ED4D58"/>
    <w:rsid w:val="00EE0DBB"/>
    <w:rsid w:val="00EE392D"/>
    <w:rsid w:val="00EE5A40"/>
    <w:rsid w:val="00EE6DC9"/>
    <w:rsid w:val="00EE786E"/>
    <w:rsid w:val="00EF02CA"/>
    <w:rsid w:val="00EF1473"/>
    <w:rsid w:val="00EF57A5"/>
    <w:rsid w:val="00F07129"/>
    <w:rsid w:val="00F1026B"/>
    <w:rsid w:val="00F10549"/>
    <w:rsid w:val="00F10E96"/>
    <w:rsid w:val="00F163C2"/>
    <w:rsid w:val="00F17431"/>
    <w:rsid w:val="00F22F69"/>
    <w:rsid w:val="00F32FEE"/>
    <w:rsid w:val="00F33169"/>
    <w:rsid w:val="00F37006"/>
    <w:rsid w:val="00F37371"/>
    <w:rsid w:val="00F45908"/>
    <w:rsid w:val="00F47003"/>
    <w:rsid w:val="00F5022D"/>
    <w:rsid w:val="00F5498A"/>
    <w:rsid w:val="00F64B87"/>
    <w:rsid w:val="00F6778B"/>
    <w:rsid w:val="00F76849"/>
    <w:rsid w:val="00F777F7"/>
    <w:rsid w:val="00F8179E"/>
    <w:rsid w:val="00F90ACB"/>
    <w:rsid w:val="00F925C2"/>
    <w:rsid w:val="00F97301"/>
    <w:rsid w:val="00F977DF"/>
    <w:rsid w:val="00FA7354"/>
    <w:rsid w:val="00FB486D"/>
    <w:rsid w:val="00FB5F11"/>
    <w:rsid w:val="00FB634D"/>
    <w:rsid w:val="00FB775F"/>
    <w:rsid w:val="00FC6844"/>
    <w:rsid w:val="00FD1959"/>
    <w:rsid w:val="00FD2373"/>
    <w:rsid w:val="00FD3294"/>
    <w:rsid w:val="00FE0E3E"/>
    <w:rsid w:val="00FE0FD1"/>
    <w:rsid w:val="00FE117D"/>
    <w:rsid w:val="00FE7BEC"/>
    <w:rsid w:val="00FF10A2"/>
    <w:rsid w:val="00FF3831"/>
    <w:rsid w:val="00FF6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30FB558-41B9-41BC-A72A-0A0D838EA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line="360" w:lineRule="auto"/>
      <w:ind w:firstLine="720"/>
      <w:jc w:val="both"/>
    </w:pPr>
    <w:rPr>
      <w:sz w:val="24"/>
      <w:lang w:val="bg-BG" w:eastAsia="bg-BG"/>
    </w:rPr>
  </w:style>
  <w:style w:type="paragraph" w:styleId="Heading1">
    <w:name w:val="heading 1"/>
    <w:basedOn w:val="Normal"/>
    <w:next w:val="Normal"/>
    <w:qFormat/>
    <w:pPr>
      <w:keepNext/>
      <w:keepLines/>
      <w:spacing w:before="240" w:after="60"/>
      <w:ind w:firstLine="0"/>
      <w:jc w:val="center"/>
      <w:outlineLvl w:val="0"/>
    </w:pPr>
    <w:rPr>
      <w:b/>
      <w:kern w:val="28"/>
      <w:sz w:val="28"/>
    </w:rPr>
  </w:style>
  <w:style w:type="paragraph" w:styleId="Heading2">
    <w:name w:val="heading 2"/>
    <w:basedOn w:val="Normal"/>
    <w:next w:val="Normal"/>
    <w:qFormat/>
    <w:pPr>
      <w:keepNext/>
      <w:keepLines/>
      <w:spacing w:before="240" w:after="60"/>
      <w:ind w:firstLine="0"/>
      <w:jc w:val="left"/>
      <w:outlineLvl w:val="1"/>
    </w:pPr>
    <w:rPr>
      <w:b/>
      <w:i/>
    </w:rPr>
  </w:style>
  <w:style w:type="paragraph" w:styleId="Heading3">
    <w:name w:val="heading 3"/>
    <w:basedOn w:val="Normal"/>
    <w:next w:val="Normal"/>
    <w:qFormat/>
    <w:pPr>
      <w:keepNext/>
      <w:spacing w:before="240" w:after="60"/>
      <w:ind w:firstLine="0"/>
      <w:jc w:val="lef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semiHidden/>
    <w:pPr>
      <w:tabs>
        <w:tab w:val="right" w:pos="10773"/>
      </w:tabs>
    </w:pPr>
    <w:rPr>
      <w:i/>
      <w:sz w:val="22"/>
      <w:lang w:val="bg-BG" w:eastAsia="bg-BG"/>
    </w:rPr>
  </w:style>
  <w:style w:type="paragraph" w:styleId="Footer">
    <w:name w:val="footer"/>
    <w:basedOn w:val="Header"/>
    <w:semiHidden/>
  </w:style>
  <w:style w:type="paragraph" w:styleId="BalloonText">
    <w:name w:val="Balloon Text"/>
    <w:basedOn w:val="Normal"/>
    <w:semiHidden/>
    <w:rPr>
      <w:rFonts w:ascii="Tahoma" w:hAnsi="Tahoma" w:cs="Tahoma"/>
      <w:sz w:val="16"/>
      <w:szCs w:val="16"/>
    </w:rPr>
  </w:style>
  <w:style w:type="character" w:customStyle="1" w:styleId="1">
    <w:name w:val="Основен текст1"/>
    <w:basedOn w:val="DefaultParagraphFont"/>
    <w:rPr>
      <w:rFonts w:ascii="Times New Roman" w:hAnsi="Times New Roman"/>
      <w:sz w:val="24"/>
    </w:rPr>
  </w:style>
  <w:style w:type="character" w:styleId="FootnoteReference">
    <w:name w:val="footnote reference"/>
    <w:basedOn w:val="DefaultParagraphFont"/>
    <w:semiHidden/>
    <w:rPr>
      <w:rFonts w:ascii="Times New Roman" w:hAnsi="Times New Roman"/>
      <w:sz w:val="18"/>
      <w:vertAlign w:val="superscript"/>
    </w:rPr>
  </w:style>
  <w:style w:type="paragraph" w:styleId="FootnoteText">
    <w:name w:val="footnote text"/>
    <w:semiHidden/>
    <w:pPr>
      <w:tabs>
        <w:tab w:val="left" w:pos="216"/>
      </w:tabs>
      <w:ind w:left="430" w:hanging="215"/>
    </w:pPr>
    <w:rPr>
      <w:lang w:val="bg-BG" w:eastAsia="bg-BG"/>
    </w:rPr>
  </w:style>
  <w:style w:type="paragraph" w:styleId="TOC1">
    <w:name w:val="toc 1"/>
    <w:next w:val="Normal"/>
    <w:semiHidden/>
    <w:pPr>
      <w:tabs>
        <w:tab w:val="right" w:leader="dot" w:pos="9638"/>
      </w:tabs>
      <w:spacing w:before="120"/>
    </w:pPr>
    <w:rPr>
      <w:rFonts w:ascii="Arial" w:hAnsi="Arial"/>
      <w:lang w:val="bg-BG" w:eastAsia="bg-BG"/>
    </w:rPr>
  </w:style>
  <w:style w:type="paragraph" w:styleId="TOC2">
    <w:name w:val="toc 2"/>
    <w:basedOn w:val="TOC1"/>
    <w:next w:val="Normal"/>
    <w:semiHidden/>
    <w:pPr>
      <w:spacing w:before="80"/>
      <w:ind w:left="238"/>
    </w:pPr>
  </w:style>
  <w:style w:type="paragraph" w:styleId="TOC3">
    <w:name w:val="toc 3"/>
    <w:basedOn w:val="TOC1"/>
    <w:next w:val="Normal"/>
    <w:semiHidden/>
    <w:pPr>
      <w:spacing w:before="40"/>
      <w:ind w:left="482"/>
    </w:pPr>
  </w:style>
  <w:style w:type="paragraph" w:styleId="TOC4">
    <w:name w:val="toc 4"/>
    <w:basedOn w:val="TOC1"/>
    <w:next w:val="Normal"/>
    <w:semiHidden/>
    <w:pPr>
      <w:spacing w:before="0"/>
      <w:ind w:left="720"/>
    </w:pPr>
  </w:style>
  <w:style w:type="paragraph" w:customStyle="1" w:styleId="a">
    <w:name w:val="БДС параграф"/>
    <w:pPr>
      <w:spacing w:line="480" w:lineRule="auto"/>
      <w:ind w:firstLine="720"/>
    </w:pPr>
    <w:rPr>
      <w:rFonts w:ascii="Arial" w:hAnsi="Arial"/>
      <w:sz w:val="24"/>
      <w:lang w:val="bg-BG" w:eastAsia="bg-BG"/>
    </w:rPr>
  </w:style>
  <w:style w:type="paragraph" w:customStyle="1" w:styleId="a0">
    <w:name w:val="Обикн. параграф"/>
    <w:basedOn w:val="Normal"/>
  </w:style>
  <w:style w:type="paragraph" w:customStyle="1" w:styleId="10">
    <w:name w:val="Заглавие 1 центрирано"/>
    <w:basedOn w:val="a0"/>
    <w:next w:val="a0"/>
    <w:pPr>
      <w:spacing w:before="240" w:after="60"/>
      <w:ind w:firstLine="0"/>
      <w:jc w:val="center"/>
    </w:pPr>
    <w:rPr>
      <w:b/>
      <w:sz w:val="28"/>
    </w:rPr>
  </w:style>
  <w:style w:type="paragraph" w:customStyle="1" w:styleId="11">
    <w:name w:val="Заглавие 1 ляво"/>
    <w:basedOn w:val="10"/>
    <w:next w:val="a0"/>
    <w:pPr>
      <w:jc w:val="left"/>
    </w:pPr>
  </w:style>
  <w:style w:type="paragraph" w:customStyle="1" w:styleId="2">
    <w:name w:val="Заглавие 2 центрирано"/>
    <w:basedOn w:val="10"/>
    <w:next w:val="a0"/>
    <w:rPr>
      <w:i/>
      <w:sz w:val="24"/>
    </w:rPr>
  </w:style>
  <w:style w:type="paragraph" w:customStyle="1" w:styleId="20">
    <w:name w:val="Заглавие 2 ляво"/>
    <w:basedOn w:val="2"/>
    <w:next w:val="a0"/>
    <w:pPr>
      <w:jc w:val="left"/>
    </w:pPr>
  </w:style>
  <w:style w:type="paragraph" w:customStyle="1" w:styleId="3">
    <w:name w:val="Заглавие 3 центрирано"/>
    <w:basedOn w:val="10"/>
    <w:next w:val="a0"/>
    <w:rPr>
      <w:sz w:val="24"/>
    </w:rPr>
  </w:style>
  <w:style w:type="paragraph" w:customStyle="1" w:styleId="30">
    <w:name w:val="Заглавие 3 ляво"/>
    <w:basedOn w:val="3"/>
    <w:next w:val="a0"/>
    <w:pPr>
      <w:jc w:val="left"/>
    </w:pPr>
  </w:style>
  <w:style w:type="paragraph" w:customStyle="1" w:styleId="a1">
    <w:name w:val="Заглавие на документа"/>
    <w:basedOn w:val="a0"/>
    <w:next w:val="a0"/>
    <w:pPr>
      <w:keepNext/>
      <w:keepLines/>
      <w:spacing w:before="0" w:after="960" w:line="480" w:lineRule="exact"/>
      <w:ind w:firstLine="0"/>
      <w:jc w:val="center"/>
    </w:pPr>
    <w:rPr>
      <w:b/>
      <w:sz w:val="32"/>
    </w:rPr>
  </w:style>
  <w:style w:type="paragraph" w:customStyle="1" w:styleId="a2">
    <w:name w:val="Обикн. пар. с продължение"/>
    <w:basedOn w:val="a0"/>
    <w:next w:val="a0"/>
    <w:pPr>
      <w:keepNext/>
    </w:pPr>
  </w:style>
  <w:style w:type="paragraph" w:customStyle="1" w:styleId="a3">
    <w:name w:val="Плътен параграф"/>
    <w:basedOn w:val="a0"/>
    <w:next w:val="a0"/>
    <w:pPr>
      <w:tabs>
        <w:tab w:val="left" w:pos="1701"/>
        <w:tab w:val="left" w:pos="3402"/>
        <w:tab w:val="left" w:pos="5103"/>
        <w:tab w:val="left" w:pos="6804"/>
        <w:tab w:val="left" w:pos="8505"/>
        <w:tab w:val="right" w:pos="9639"/>
      </w:tabs>
      <w:ind w:firstLine="0"/>
    </w:pPr>
  </w:style>
  <w:style w:type="paragraph" w:customStyle="1" w:styleId="12">
    <w:name w:val="Пар. с  12 см отстъп"/>
    <w:basedOn w:val="a3"/>
    <w:pPr>
      <w:tabs>
        <w:tab w:val="clear" w:pos="1701"/>
        <w:tab w:val="clear" w:pos="3402"/>
        <w:tab w:val="clear" w:pos="5103"/>
        <w:tab w:val="clear" w:pos="6804"/>
      </w:tabs>
      <w:spacing w:before="0"/>
      <w:ind w:left="6804"/>
    </w:pPr>
  </w:style>
  <w:style w:type="paragraph" w:customStyle="1" w:styleId="31">
    <w:name w:val="Пар. с  3 см отстъп"/>
    <w:basedOn w:val="a3"/>
    <w:pPr>
      <w:tabs>
        <w:tab w:val="clear" w:pos="1701"/>
      </w:tabs>
      <w:spacing w:before="0"/>
      <w:ind w:left="1701"/>
    </w:pPr>
  </w:style>
  <w:style w:type="paragraph" w:customStyle="1" w:styleId="6">
    <w:name w:val="Пар. с  6 см отстъп"/>
    <w:basedOn w:val="a3"/>
    <w:pPr>
      <w:tabs>
        <w:tab w:val="clear" w:pos="1701"/>
        <w:tab w:val="clear" w:pos="3402"/>
      </w:tabs>
      <w:spacing w:before="0"/>
      <w:ind w:left="3402"/>
    </w:pPr>
  </w:style>
  <w:style w:type="paragraph" w:customStyle="1" w:styleId="9">
    <w:name w:val="Пар. с  9 см отстъп"/>
    <w:basedOn w:val="a3"/>
    <w:pPr>
      <w:tabs>
        <w:tab w:val="clear" w:pos="1701"/>
        <w:tab w:val="clear" w:pos="3402"/>
        <w:tab w:val="clear" w:pos="5103"/>
      </w:tabs>
      <w:spacing w:before="0"/>
      <w:ind w:left="5103"/>
    </w:pPr>
  </w:style>
  <w:style w:type="paragraph" w:customStyle="1" w:styleId="a4">
    <w:name w:val="Плътен пар. с прод."/>
    <w:basedOn w:val="a3"/>
    <w:pPr>
      <w:keepNext/>
    </w:pPr>
  </w:style>
  <w:style w:type="paragraph" w:customStyle="1" w:styleId="1-">
    <w:name w:val="Списък 1-о ниво"/>
    <w:basedOn w:val="a0"/>
    <w:pPr>
      <w:tabs>
        <w:tab w:val="left" w:pos="1008"/>
      </w:tabs>
      <w:spacing w:before="60"/>
      <w:ind w:left="1296" w:hanging="288"/>
    </w:pPr>
  </w:style>
  <w:style w:type="paragraph" w:customStyle="1" w:styleId="2-">
    <w:name w:val="Списък 2-о ниво"/>
    <w:basedOn w:val="1-"/>
    <w:pPr>
      <w:tabs>
        <w:tab w:val="clear" w:pos="1008"/>
        <w:tab w:val="left" w:pos="1728"/>
      </w:tabs>
      <w:ind w:left="2017" w:hanging="289"/>
    </w:pPr>
  </w:style>
  <w:style w:type="paragraph" w:customStyle="1" w:styleId="3-">
    <w:name w:val="Списък 3-о ниво"/>
    <w:basedOn w:val="1-"/>
    <w:pPr>
      <w:tabs>
        <w:tab w:val="clear" w:pos="1008"/>
        <w:tab w:val="left" w:pos="2448"/>
      </w:tabs>
      <w:ind w:left="2737" w:hanging="289"/>
    </w:pPr>
  </w:style>
  <w:style w:type="paragraph" w:styleId="ListParagraph">
    <w:name w:val="List Paragraph"/>
    <w:basedOn w:val="Normal"/>
    <w:uiPriority w:val="34"/>
    <w:qFormat/>
    <w:rsid w:val="00D91240"/>
    <w:pPr>
      <w:spacing w:before="0" w:after="200" w:line="276" w:lineRule="auto"/>
      <w:ind w:left="720" w:firstLine="0"/>
      <w:contextualSpacing/>
      <w:jc w:val="left"/>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2A7FD9"/>
    <w:rPr>
      <w:color w:val="0563C1" w:themeColor="hyperlink"/>
      <w:u w:val="single"/>
    </w:rPr>
  </w:style>
  <w:style w:type="paragraph" w:customStyle="1" w:styleId="04-TEXTFIRST">
    <w:name w:val="04-TEXT FIRST"/>
    <w:basedOn w:val="Normal"/>
    <w:rsid w:val="00E0175F"/>
    <w:pPr>
      <w:spacing w:before="200"/>
      <w:ind w:firstLine="227"/>
    </w:pPr>
    <w:rPr>
      <w:rFonts w:ascii="Arial" w:hAnsi="Arial"/>
      <w:sz w:val="20"/>
      <w:szCs w:val="24"/>
      <w:lang w:eastAsia="en-US"/>
    </w:rPr>
  </w:style>
  <w:style w:type="paragraph" w:styleId="NormalWeb">
    <w:name w:val="Normal (Web)"/>
    <w:basedOn w:val="Normal"/>
    <w:uiPriority w:val="99"/>
    <w:semiHidden/>
    <w:unhideWhenUsed/>
    <w:rsid w:val="007032EB"/>
    <w:pPr>
      <w:spacing w:before="100" w:beforeAutospacing="1" w:after="100" w:afterAutospacing="1" w:line="240" w:lineRule="auto"/>
      <w:ind w:firstLine="0"/>
      <w:jc w:val="left"/>
    </w:pPr>
    <w:rPr>
      <w:szCs w:val="24"/>
    </w:rPr>
  </w:style>
  <w:style w:type="character" w:styleId="FollowedHyperlink">
    <w:name w:val="FollowedHyperlink"/>
    <w:basedOn w:val="DefaultParagraphFont"/>
    <w:uiPriority w:val="99"/>
    <w:semiHidden/>
    <w:unhideWhenUsed/>
    <w:rsid w:val="007032EB"/>
    <w:rPr>
      <w:color w:val="954F72" w:themeColor="followedHyperlink"/>
      <w:u w:val="single"/>
    </w:rPr>
  </w:style>
  <w:style w:type="paragraph" w:customStyle="1" w:styleId="02-DATE">
    <w:name w:val="02-DATE"/>
    <w:next w:val="Normal"/>
    <w:rsid w:val="00765EDD"/>
    <w:pPr>
      <w:spacing w:line="360" w:lineRule="auto"/>
      <w:jc w:val="right"/>
    </w:pPr>
    <w:rPr>
      <w:rFonts w:ascii="Arial" w:hAnsi="Arial"/>
      <w:b/>
      <w:lang w:val="bg-BG" w:eastAsia="en-US"/>
    </w:rPr>
  </w:style>
  <w:style w:type="paragraph" w:customStyle="1" w:styleId="01-PRESSRELEASE">
    <w:name w:val="01-PRESSRELEASE"/>
    <w:next w:val="Normal"/>
    <w:rsid w:val="00567C15"/>
    <w:pPr>
      <w:spacing w:before="400" w:line="360" w:lineRule="auto"/>
      <w:jc w:val="center"/>
    </w:pPr>
    <w:rPr>
      <w:rFonts w:ascii="Arial" w:hAnsi="Arial"/>
      <w:b/>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045093">
      <w:bodyDiv w:val="1"/>
      <w:marLeft w:val="0"/>
      <w:marRight w:val="0"/>
      <w:marTop w:val="0"/>
      <w:marBottom w:val="0"/>
      <w:divBdr>
        <w:top w:val="none" w:sz="0" w:space="0" w:color="auto"/>
        <w:left w:val="none" w:sz="0" w:space="0" w:color="auto"/>
        <w:bottom w:val="none" w:sz="0" w:space="0" w:color="auto"/>
        <w:right w:val="none" w:sz="0" w:space="0" w:color="auto"/>
      </w:divBdr>
    </w:div>
    <w:div w:id="1112093704">
      <w:bodyDiv w:val="1"/>
      <w:marLeft w:val="0"/>
      <w:marRight w:val="0"/>
      <w:marTop w:val="0"/>
      <w:marBottom w:val="0"/>
      <w:divBdr>
        <w:top w:val="none" w:sz="0" w:space="0" w:color="auto"/>
        <w:left w:val="none" w:sz="0" w:space="0" w:color="auto"/>
        <w:bottom w:val="none" w:sz="0" w:space="0" w:color="auto"/>
        <w:right w:val="none" w:sz="0" w:space="0" w:color="auto"/>
      </w:divBdr>
      <w:divsChild>
        <w:div w:id="1621911267">
          <w:marLeft w:val="0"/>
          <w:marRight w:val="0"/>
          <w:marTop w:val="0"/>
          <w:marBottom w:val="0"/>
          <w:divBdr>
            <w:top w:val="none" w:sz="0" w:space="0" w:color="auto"/>
            <w:left w:val="none" w:sz="0" w:space="0" w:color="auto"/>
            <w:bottom w:val="none" w:sz="0" w:space="0" w:color="auto"/>
            <w:right w:val="none" w:sz="0" w:space="0" w:color="auto"/>
          </w:divBdr>
          <w:divsChild>
            <w:div w:id="1077092423">
              <w:marLeft w:val="0"/>
              <w:marRight w:val="0"/>
              <w:marTop w:val="0"/>
              <w:marBottom w:val="0"/>
              <w:divBdr>
                <w:top w:val="none" w:sz="0" w:space="0" w:color="auto"/>
                <w:left w:val="none" w:sz="0" w:space="0" w:color="auto"/>
                <w:bottom w:val="none" w:sz="0" w:space="0" w:color="auto"/>
                <w:right w:val="none" w:sz="0" w:space="0" w:color="auto"/>
              </w:divBdr>
              <w:divsChild>
                <w:div w:id="861355574">
                  <w:marLeft w:val="0"/>
                  <w:marRight w:val="0"/>
                  <w:marTop w:val="0"/>
                  <w:marBottom w:val="0"/>
                  <w:divBdr>
                    <w:top w:val="none" w:sz="0" w:space="0" w:color="auto"/>
                    <w:left w:val="none" w:sz="0" w:space="0" w:color="auto"/>
                    <w:bottom w:val="none" w:sz="0" w:space="0" w:color="auto"/>
                    <w:right w:val="none" w:sz="0" w:space="0" w:color="auto"/>
                  </w:divBdr>
                  <w:divsChild>
                    <w:div w:id="220135475">
                      <w:marLeft w:val="0"/>
                      <w:marRight w:val="0"/>
                      <w:marTop w:val="0"/>
                      <w:marBottom w:val="0"/>
                      <w:divBdr>
                        <w:top w:val="none" w:sz="0" w:space="0" w:color="auto"/>
                        <w:left w:val="none" w:sz="0" w:space="0" w:color="auto"/>
                        <w:bottom w:val="none" w:sz="0" w:space="0" w:color="auto"/>
                        <w:right w:val="none" w:sz="0" w:space="0" w:color="auto"/>
                      </w:divBdr>
                      <w:divsChild>
                        <w:div w:id="1030229837">
                          <w:marLeft w:val="0"/>
                          <w:marRight w:val="0"/>
                          <w:marTop w:val="0"/>
                          <w:marBottom w:val="0"/>
                          <w:divBdr>
                            <w:top w:val="none" w:sz="0" w:space="0" w:color="auto"/>
                            <w:left w:val="none" w:sz="0" w:space="0" w:color="auto"/>
                            <w:bottom w:val="none" w:sz="0" w:space="0" w:color="auto"/>
                            <w:right w:val="none" w:sz="0" w:space="0" w:color="auto"/>
                          </w:divBdr>
                          <w:divsChild>
                            <w:div w:id="1166631094">
                              <w:marLeft w:val="0"/>
                              <w:marRight w:val="0"/>
                              <w:marTop w:val="0"/>
                              <w:marBottom w:val="0"/>
                              <w:divBdr>
                                <w:top w:val="none" w:sz="0" w:space="0" w:color="auto"/>
                                <w:left w:val="none" w:sz="0" w:space="0" w:color="auto"/>
                                <w:bottom w:val="none" w:sz="0" w:space="0" w:color="auto"/>
                                <w:right w:val="none" w:sz="0" w:space="0" w:color="auto"/>
                              </w:divBdr>
                              <w:divsChild>
                                <w:div w:id="1458836323">
                                  <w:marLeft w:val="0"/>
                                  <w:marRight w:val="0"/>
                                  <w:marTop w:val="0"/>
                                  <w:marBottom w:val="0"/>
                                  <w:divBdr>
                                    <w:top w:val="none" w:sz="0" w:space="0" w:color="auto"/>
                                    <w:left w:val="none" w:sz="0" w:space="0" w:color="auto"/>
                                    <w:bottom w:val="none" w:sz="0" w:space="0" w:color="auto"/>
                                    <w:right w:val="none" w:sz="0" w:space="0" w:color="auto"/>
                                  </w:divBdr>
                                  <w:divsChild>
                                    <w:div w:id="769425089">
                                      <w:marLeft w:val="0"/>
                                      <w:marRight w:val="0"/>
                                      <w:marTop w:val="0"/>
                                      <w:marBottom w:val="0"/>
                                      <w:divBdr>
                                        <w:top w:val="none" w:sz="0" w:space="0" w:color="auto"/>
                                        <w:left w:val="none" w:sz="0" w:space="0" w:color="auto"/>
                                        <w:bottom w:val="none" w:sz="0" w:space="0" w:color="auto"/>
                                        <w:right w:val="none" w:sz="0" w:space="0" w:color="auto"/>
                                      </w:divBdr>
                                      <w:divsChild>
                                        <w:div w:id="87890170">
                                          <w:marLeft w:val="0"/>
                                          <w:marRight w:val="0"/>
                                          <w:marTop w:val="0"/>
                                          <w:marBottom w:val="0"/>
                                          <w:divBdr>
                                            <w:top w:val="none" w:sz="0" w:space="0" w:color="auto"/>
                                            <w:left w:val="none" w:sz="0" w:space="0" w:color="auto"/>
                                            <w:bottom w:val="none" w:sz="0" w:space="0" w:color="auto"/>
                                            <w:right w:val="none" w:sz="0" w:space="0" w:color="auto"/>
                                          </w:divBdr>
                                          <w:divsChild>
                                            <w:div w:id="206647263">
                                              <w:marLeft w:val="0"/>
                                              <w:marRight w:val="0"/>
                                              <w:marTop w:val="0"/>
                                              <w:marBottom w:val="0"/>
                                              <w:divBdr>
                                                <w:top w:val="none" w:sz="0" w:space="0" w:color="auto"/>
                                                <w:left w:val="none" w:sz="0" w:space="0" w:color="auto"/>
                                                <w:bottom w:val="none" w:sz="0" w:space="0" w:color="auto"/>
                                                <w:right w:val="none" w:sz="0" w:space="0" w:color="auto"/>
                                              </w:divBdr>
                                              <w:divsChild>
                                                <w:div w:id="107081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nb.bg/BankSupervision/BSCapitalBuffers/BSCBCountercyclical/index.htm?toLang=_EN&amp;toLang=_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CC75A-9635-4A8C-B635-E3B307ECE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485</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ДОКЛАДНА ЗАПИСКА ДО УПРАВИТЕЛНИЯ СЪВЕТ</vt:lpstr>
    </vt:vector>
  </TitlesOfParts>
  <Company>Българска народна банка</Company>
  <LinksUpToDate>false</LinksUpToDate>
  <CharactersWithSpaces>3398</CharactersWithSpaces>
  <SharedDoc>false</SharedDoc>
  <HLinks>
    <vt:vector size="6" baseType="variant">
      <vt:variant>
        <vt:i4>7274539</vt:i4>
      </vt:variant>
      <vt:variant>
        <vt:i4>1024</vt:i4>
      </vt:variant>
      <vt:variant>
        <vt:i4>1025</vt:i4>
      </vt:variant>
      <vt:variant>
        <vt:i4>1</vt:i4>
      </vt:variant>
      <vt:variant>
        <vt:lpwstr>!s5-7,9-10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ДОКЛАДНА ЗАПИСКА ДО УПРАВИТЕЛНИЯ СЪВЕТ</dc:title>
  <dc:creator>Стефан Кръстанов</dc:creator>
  <cp:lastModifiedBy>Биляна Борисова</cp:lastModifiedBy>
  <cp:revision>9</cp:revision>
  <cp:lastPrinted>2016-03-16T14:20:00Z</cp:lastPrinted>
  <dcterms:created xsi:type="dcterms:W3CDTF">2025-03-10T12:52:00Z</dcterms:created>
  <dcterms:modified xsi:type="dcterms:W3CDTF">2025-03-17T14:55:00Z</dcterms:modified>
</cp:coreProperties>
</file>